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B42" w:rsidRPr="00BA34C0" w:rsidRDefault="002C363E" w:rsidP="0043606B">
      <w:pPr>
        <w:spacing w:line="276" w:lineRule="auto"/>
        <w:jc w:val="center"/>
        <w:rPr>
          <w:rFonts w:ascii="微软雅黑" w:eastAsia="微软雅黑" w:hAnsi="微软雅黑"/>
          <w:b/>
          <w:sz w:val="32"/>
        </w:rPr>
      </w:pPr>
      <w:r w:rsidRPr="00BA34C0">
        <w:rPr>
          <w:rFonts w:ascii="微软雅黑" w:eastAsia="微软雅黑" w:hAnsi="微软雅黑" w:hint="eastAsia"/>
          <w:b/>
          <w:sz w:val="32"/>
        </w:rPr>
        <w:t>嘉实基金网上交易开户指南</w:t>
      </w:r>
    </w:p>
    <w:p w:rsidR="0043606B" w:rsidRPr="00BA34C0" w:rsidRDefault="0043606B" w:rsidP="0043606B">
      <w:pPr>
        <w:spacing w:line="276" w:lineRule="auto"/>
        <w:rPr>
          <w:rFonts w:ascii="微软雅黑" w:eastAsia="微软雅黑" w:hAnsi="微软雅黑"/>
        </w:rPr>
      </w:pPr>
    </w:p>
    <w:p w:rsidR="0043606B" w:rsidRPr="00BA34C0" w:rsidRDefault="00E80DD7" w:rsidP="0043606B">
      <w:pPr>
        <w:spacing w:line="276" w:lineRule="auto"/>
        <w:ind w:firstLineChars="200" w:firstLine="420"/>
        <w:rPr>
          <w:rFonts w:ascii="微软雅黑" w:eastAsia="微软雅黑" w:hAnsi="微软雅黑"/>
        </w:rPr>
      </w:pPr>
      <w:r w:rsidRPr="00BA34C0">
        <w:rPr>
          <w:rFonts w:ascii="微软雅黑" w:eastAsia="微软雅黑" w:hAnsi="微软雅黑" w:hint="eastAsia"/>
        </w:rPr>
        <w:t>投资者</w:t>
      </w:r>
      <w:r w:rsidR="00705E2F" w:rsidRPr="00BA34C0">
        <w:rPr>
          <w:rFonts w:ascii="微软雅黑" w:eastAsia="微软雅黑" w:hAnsi="微软雅黑" w:hint="eastAsia"/>
        </w:rPr>
        <w:t>可以登录嘉实基金电子平台（包括网上交易、理财嘉APP</w:t>
      </w:r>
      <w:r w:rsidR="0043606B" w:rsidRPr="00BA34C0">
        <w:rPr>
          <w:rFonts w:ascii="微软雅黑" w:eastAsia="微软雅黑" w:hAnsi="微软雅黑" w:hint="eastAsia"/>
        </w:rPr>
        <w:t>等）进行相关操作。</w:t>
      </w:r>
    </w:p>
    <w:p w:rsidR="007D4C93" w:rsidRDefault="0043606B" w:rsidP="0043606B">
      <w:pPr>
        <w:spacing w:line="276" w:lineRule="auto"/>
        <w:rPr>
          <w:rFonts w:ascii="微软雅黑" w:eastAsia="微软雅黑" w:hAnsi="微软雅黑" w:hint="eastAsia"/>
          <w:b/>
        </w:rPr>
      </w:pPr>
      <w:r w:rsidRPr="00BA34C0">
        <w:rPr>
          <w:rFonts w:ascii="微软雅黑" w:eastAsia="微软雅黑" w:hAnsi="微软雅黑" w:hint="eastAsia"/>
          <w:b/>
        </w:rPr>
        <w:t>一、网上交易平台</w:t>
      </w:r>
    </w:p>
    <w:p w:rsidR="0043606B" w:rsidRPr="00BA34C0" w:rsidRDefault="0043606B" w:rsidP="0043606B">
      <w:pPr>
        <w:spacing w:line="276" w:lineRule="auto"/>
        <w:rPr>
          <w:rFonts w:ascii="微软雅黑" w:eastAsia="微软雅黑" w:hAnsi="微软雅黑"/>
        </w:rPr>
      </w:pPr>
      <w:r w:rsidRPr="00BA34C0">
        <w:rPr>
          <w:rFonts w:ascii="微软雅黑" w:eastAsia="微软雅黑" w:hAnsi="微软雅黑" w:hint="eastAsia"/>
        </w:rPr>
        <w:t>1、网上交易</w:t>
      </w:r>
      <w:r w:rsidR="00CC109A" w:rsidRPr="00BA34C0">
        <w:rPr>
          <w:rFonts w:ascii="微软雅黑" w:eastAsia="微软雅黑" w:hAnsi="微软雅黑" w:hint="eastAsia"/>
        </w:rPr>
        <w:t>开户前的准备事项</w:t>
      </w:r>
    </w:p>
    <w:p w:rsidR="0043606B" w:rsidRDefault="0043606B" w:rsidP="007D4C93">
      <w:pPr>
        <w:rPr>
          <w:rFonts w:ascii="微软雅黑" w:eastAsia="微软雅黑" w:hAnsi="微软雅黑" w:hint="eastAsia"/>
        </w:rPr>
      </w:pPr>
      <w:r w:rsidRPr="00BA34C0">
        <w:rPr>
          <w:rFonts w:ascii="微软雅黑" w:eastAsia="微软雅黑" w:hAnsi="微软雅黑" w:hint="eastAsia"/>
        </w:rPr>
        <w:t>为保证顺利开户，请您根据下表要求提前做好准备。</w:t>
      </w:r>
    </w:p>
    <w:tbl>
      <w:tblPr>
        <w:tblW w:w="9118" w:type="dxa"/>
        <w:tblInd w:w="91" w:type="dxa"/>
        <w:tblLook w:val="04A0"/>
      </w:tblPr>
      <w:tblGrid>
        <w:gridCol w:w="1435"/>
        <w:gridCol w:w="4252"/>
        <w:gridCol w:w="3431"/>
      </w:tblGrid>
      <w:tr w:rsidR="007D617D" w:rsidRPr="007D617D" w:rsidTr="007D617D">
        <w:trPr>
          <w:trHeight w:val="278"/>
        </w:trPr>
        <w:tc>
          <w:tcPr>
            <w:tcW w:w="1435" w:type="dxa"/>
            <w:tcBorders>
              <w:top w:val="single" w:sz="4" w:space="0" w:color="auto"/>
              <w:left w:val="single" w:sz="4" w:space="0" w:color="auto"/>
              <w:bottom w:val="single" w:sz="4" w:space="0" w:color="auto"/>
              <w:right w:val="single" w:sz="4" w:space="0" w:color="auto"/>
            </w:tcBorders>
            <w:shd w:val="clear" w:color="000000" w:fill="B2B2B2"/>
            <w:vAlign w:val="center"/>
            <w:hideMark/>
          </w:tcPr>
          <w:p w:rsidR="007D617D" w:rsidRPr="007D617D" w:rsidRDefault="007D617D" w:rsidP="007D617D">
            <w:pPr>
              <w:widowControl/>
              <w:jc w:val="center"/>
              <w:rPr>
                <w:rFonts w:ascii="微软雅黑" w:eastAsia="微软雅黑" w:hAnsi="微软雅黑" w:cs="宋体"/>
                <w:b/>
                <w:bCs/>
                <w:color w:val="000000"/>
                <w:kern w:val="0"/>
                <w:sz w:val="18"/>
                <w:szCs w:val="18"/>
              </w:rPr>
            </w:pPr>
            <w:r w:rsidRPr="007D617D">
              <w:rPr>
                <w:rFonts w:ascii="微软雅黑" w:eastAsia="微软雅黑" w:hAnsi="微软雅黑" w:cs="宋体" w:hint="eastAsia"/>
                <w:b/>
                <w:bCs/>
                <w:color w:val="000000"/>
                <w:kern w:val="0"/>
                <w:sz w:val="18"/>
                <w:szCs w:val="18"/>
              </w:rPr>
              <w:t>银行名称</w:t>
            </w:r>
          </w:p>
        </w:tc>
        <w:tc>
          <w:tcPr>
            <w:tcW w:w="4252" w:type="dxa"/>
            <w:tcBorders>
              <w:top w:val="single" w:sz="4" w:space="0" w:color="auto"/>
              <w:left w:val="nil"/>
              <w:bottom w:val="single" w:sz="4" w:space="0" w:color="auto"/>
              <w:right w:val="single" w:sz="4" w:space="0" w:color="auto"/>
            </w:tcBorders>
            <w:shd w:val="clear" w:color="000000" w:fill="B2B2B2"/>
            <w:vAlign w:val="center"/>
            <w:hideMark/>
          </w:tcPr>
          <w:p w:rsidR="007D617D" w:rsidRPr="007D617D" w:rsidRDefault="007D617D" w:rsidP="007D617D">
            <w:pPr>
              <w:widowControl/>
              <w:jc w:val="center"/>
              <w:rPr>
                <w:rFonts w:ascii="微软雅黑" w:eastAsia="微软雅黑" w:hAnsi="微软雅黑" w:cs="宋体"/>
                <w:b/>
                <w:bCs/>
                <w:color w:val="000000"/>
                <w:kern w:val="0"/>
                <w:sz w:val="18"/>
                <w:szCs w:val="18"/>
              </w:rPr>
            </w:pPr>
            <w:r w:rsidRPr="007D617D">
              <w:rPr>
                <w:rFonts w:ascii="微软雅黑" w:eastAsia="微软雅黑" w:hAnsi="微软雅黑" w:cs="宋体" w:hint="eastAsia"/>
                <w:b/>
                <w:bCs/>
                <w:color w:val="000000"/>
                <w:kern w:val="0"/>
                <w:sz w:val="18"/>
                <w:szCs w:val="18"/>
              </w:rPr>
              <w:t>新开户准备事项（网上交易）</w:t>
            </w:r>
          </w:p>
        </w:tc>
        <w:tc>
          <w:tcPr>
            <w:tcW w:w="3431" w:type="dxa"/>
            <w:tcBorders>
              <w:top w:val="single" w:sz="4" w:space="0" w:color="auto"/>
              <w:left w:val="nil"/>
              <w:bottom w:val="single" w:sz="4" w:space="0" w:color="auto"/>
              <w:right w:val="single" w:sz="4" w:space="0" w:color="auto"/>
            </w:tcBorders>
            <w:shd w:val="clear" w:color="000000" w:fill="B2B2B2"/>
            <w:vAlign w:val="center"/>
            <w:hideMark/>
          </w:tcPr>
          <w:p w:rsidR="007D617D" w:rsidRPr="007D617D" w:rsidRDefault="007D617D" w:rsidP="007D617D">
            <w:pPr>
              <w:widowControl/>
              <w:jc w:val="center"/>
              <w:rPr>
                <w:rFonts w:ascii="微软雅黑" w:eastAsia="微软雅黑" w:hAnsi="微软雅黑" w:cs="宋体"/>
                <w:b/>
                <w:bCs/>
                <w:color w:val="000000"/>
                <w:kern w:val="0"/>
                <w:sz w:val="18"/>
                <w:szCs w:val="18"/>
              </w:rPr>
            </w:pPr>
            <w:r w:rsidRPr="007D617D">
              <w:rPr>
                <w:rFonts w:ascii="微软雅黑" w:eastAsia="微软雅黑" w:hAnsi="微软雅黑" w:cs="宋体" w:hint="eastAsia"/>
                <w:b/>
                <w:bCs/>
                <w:color w:val="000000"/>
                <w:kern w:val="0"/>
                <w:sz w:val="18"/>
                <w:szCs w:val="18"/>
              </w:rPr>
              <w:t>银行卡支付限额</w:t>
            </w:r>
          </w:p>
        </w:tc>
      </w:tr>
      <w:tr w:rsidR="007D617D" w:rsidRPr="007D617D" w:rsidTr="007D617D">
        <w:trPr>
          <w:trHeight w:val="4452"/>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中国工商银行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1、请在银行柜台开通网上银行并申请U盾或电子密码器，在电脑中安装相关证书和控件。如果您同时拥有U盾或电子密码器，请在网上银行中“安全中心”的“切换认证方式”中选择的认证方式（U盾或电子密码器）2、或者请在银行柜台让柜员使用4204交易将现用手机号设置为“柜面认证”手机号。并提示柜员，先删除不用的手机号，再新增现用手机号，“银行预留标示”选择“是”，该手机号的“国家代码项”输入“+86”而不是“86”，设置该手机号为“默认”。如您还无法收到短信，请提示柜员新增一个默认的手机号为“0”，然后把原来的手机号设置成“默认手机号”即可（仅适用于以6或9开头的工行卡号）</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直连：单笔限额30万，当日累计限额30万，月累计100万</w:t>
            </w:r>
          </w:p>
        </w:tc>
      </w:tr>
      <w:tr w:rsidR="007D617D" w:rsidRPr="007D617D" w:rsidTr="007D617D">
        <w:trPr>
          <w:trHeight w:val="322"/>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中国农业银行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1，请提前在银行柜台开通网上银行并申请K宝，并将您现用的手机号开通“短消息服务”功能，在电脑中安装相关证书和控件。2，若您在柜台开通“短消息服务”失败，您还可以通过网银中“客户服务”菜单的“电子银行渠道管理”菜单中开通短消息服务功能（部分地区用户的网银无此入口，必须去银行柜台办理）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直连：无限额</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1347"/>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易宝：单笔限额5万，当日累计限额10万，月累计无限额</w:t>
            </w:r>
          </w:p>
        </w:tc>
      </w:tr>
      <w:tr w:rsidR="007D617D" w:rsidRPr="007D617D" w:rsidTr="007D617D">
        <w:trPr>
          <w:trHeight w:val="820"/>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中国建设银行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请提前在银行柜台开通网上银行并申请U盾、并将您现用手机号设置为网银或手机银行的预留手机号，并提示柜员该手机号为快捷支付所用。在电脑中安装相关证书和控件</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直连：单笔限额50万，当日累计限额50万，月累计无限额</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835"/>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1、请先开通中行网上银行，在电脑中安装相关证书和控件2、然后请通过中行网上银行 开通“理财直付”功能（网银中的“电子支付”菜单）“理财直付”菜单输入银行预留手机号接收到的验证码</w:t>
            </w:r>
            <w:r w:rsidRPr="007D617D">
              <w:rPr>
                <w:rFonts w:ascii="微软雅黑" w:eastAsia="微软雅黑" w:hAnsi="微软雅黑" w:cs="宋体" w:hint="eastAsia"/>
                <w:color w:val="000000"/>
                <w:kern w:val="0"/>
                <w:sz w:val="18"/>
                <w:szCs w:val="18"/>
              </w:rPr>
              <w:lastRenderedPageBreak/>
              <w:t>（E-TOKEN上的动态口令），或到柜台开通“理财直付”功能</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lastRenderedPageBreak/>
              <w:t>直连：单笔限额100万，当日累计限额500万，月累计无限额（仅支持网上交易）</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易宝：单笔限额5万，当日累计限额500万，月累计无限额</w:t>
            </w:r>
          </w:p>
        </w:tc>
      </w:tr>
      <w:tr w:rsidR="007D617D" w:rsidRPr="007D617D" w:rsidTr="007D617D">
        <w:trPr>
          <w:trHeight w:val="556"/>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lastRenderedPageBreak/>
              <w:t>招商银行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请在网上银行的“一卡通”栏目的“网上支付”中设置网上支付限额</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直连：客户在招行网银设定的限额</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71"/>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交通银行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请在银行柜台或网上银行设置正确的手机号码</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直连：无限额</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56"/>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浦发银行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无</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直连：单笔限额800万，当日累计限额5000万，月累计无限额</w:t>
            </w:r>
          </w:p>
        </w:tc>
      </w:tr>
      <w:tr w:rsidR="007D617D" w:rsidRPr="007D617D" w:rsidTr="007D617D">
        <w:trPr>
          <w:trHeight w:val="556"/>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中国民生银行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直连：单笔限额500万，当日累计限额5000万，月累计无限额</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银联：单笔限额100万，当日累计限额100万，月累计无限额</w:t>
            </w:r>
          </w:p>
        </w:tc>
      </w:tr>
      <w:tr w:rsidR="007D617D" w:rsidRPr="007D617D" w:rsidTr="007D617D">
        <w:trPr>
          <w:trHeight w:val="367"/>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北京银行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直连：无限额（仅支持网上交易）</w:t>
            </w:r>
          </w:p>
        </w:tc>
      </w:tr>
      <w:tr w:rsidR="007D617D" w:rsidRPr="007D617D" w:rsidTr="007D617D">
        <w:trPr>
          <w:trHeight w:val="1113"/>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广发银行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好易联：单笔限额北京上海广州地区100万；其他地区20万，当日累计、月累计无限额（仅支持网上交易）</w:t>
            </w:r>
          </w:p>
        </w:tc>
      </w:tr>
      <w:tr w:rsidR="007D617D" w:rsidRPr="007D617D" w:rsidTr="007D617D">
        <w:trPr>
          <w:trHeight w:val="835"/>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银联：单笔限额1000万，当日累计、月累计无限额（不支持代扣，银联卡密支付）</w:t>
            </w:r>
          </w:p>
        </w:tc>
      </w:tr>
      <w:tr w:rsidR="007D617D" w:rsidRPr="007D617D" w:rsidTr="007D617D">
        <w:trPr>
          <w:trHeight w:val="556"/>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华夏银行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56"/>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平安银行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无</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银联：单笔限额5万，当日累计限额5万，月累计无限额</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中信银行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无</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银联：单笔限额100万，当日累计、月累计无限额（不支持代扣，银联卡密支付）</w:t>
            </w:r>
          </w:p>
        </w:tc>
      </w:tr>
      <w:tr w:rsidR="007D617D" w:rsidRPr="007D617D" w:rsidTr="007D617D">
        <w:trPr>
          <w:trHeight w:val="556"/>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兴业银行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无</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835"/>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银联：单笔限额100万，当日累计、月累计无限额（不支持代扣，银联卡密支付）</w:t>
            </w:r>
          </w:p>
        </w:tc>
      </w:tr>
      <w:tr w:rsidR="007D617D" w:rsidRPr="007D617D" w:rsidTr="007D617D">
        <w:trPr>
          <w:trHeight w:val="556"/>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易宝：单笔限额5万，当日累计、月累计无限额</w:t>
            </w:r>
          </w:p>
        </w:tc>
      </w:tr>
      <w:tr w:rsidR="007D617D" w:rsidRPr="007D617D" w:rsidTr="007D617D">
        <w:trPr>
          <w:trHeight w:val="556"/>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中国光大银行</w:t>
            </w:r>
          </w:p>
        </w:tc>
        <w:tc>
          <w:tcPr>
            <w:tcW w:w="4252" w:type="dxa"/>
            <w:vMerge w:val="restart"/>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无</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通联：单笔限额50万，当日累计限额200万，月累计500万</w:t>
            </w:r>
          </w:p>
        </w:tc>
      </w:tr>
      <w:tr w:rsidR="007D617D" w:rsidRPr="007D617D" w:rsidTr="007D617D">
        <w:trPr>
          <w:trHeight w:val="278"/>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银联：无限额</w:t>
            </w:r>
          </w:p>
        </w:tc>
      </w:tr>
      <w:tr w:rsidR="007D617D" w:rsidRPr="007D617D" w:rsidTr="007D617D">
        <w:trPr>
          <w:trHeight w:val="278"/>
        </w:trPr>
        <w:tc>
          <w:tcPr>
            <w:tcW w:w="1435"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4252" w:type="dxa"/>
            <w:vMerge/>
            <w:tcBorders>
              <w:top w:val="nil"/>
              <w:left w:val="single" w:sz="4" w:space="0" w:color="auto"/>
              <w:bottom w:val="single" w:sz="4" w:space="0" w:color="auto"/>
              <w:right w:val="single" w:sz="4" w:space="0" w:color="auto"/>
            </w:tcBorders>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易宝：无限额</w:t>
            </w:r>
          </w:p>
        </w:tc>
      </w:tr>
      <w:tr w:rsidR="007D617D" w:rsidRPr="007D617D" w:rsidTr="007D617D">
        <w:trPr>
          <w:trHeight w:val="556"/>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Default="007D617D" w:rsidP="007D617D">
            <w:pPr>
              <w:widowControl/>
              <w:jc w:val="center"/>
              <w:rPr>
                <w:rFonts w:ascii="微软雅黑" w:eastAsia="微软雅黑" w:hAnsi="微软雅黑" w:cs="宋体" w:hint="eastAsia"/>
                <w:color w:val="000000"/>
                <w:kern w:val="0"/>
                <w:sz w:val="18"/>
                <w:szCs w:val="18"/>
              </w:rPr>
            </w:pPr>
            <w:r w:rsidRPr="007D617D">
              <w:rPr>
                <w:rFonts w:ascii="微软雅黑" w:eastAsia="微软雅黑" w:hAnsi="微软雅黑" w:cs="宋体" w:hint="eastAsia"/>
                <w:color w:val="000000"/>
                <w:kern w:val="0"/>
                <w:sz w:val="18"/>
                <w:szCs w:val="18"/>
              </w:rPr>
              <w:t>中国邮政</w:t>
            </w:r>
          </w:p>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储蓄银行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银联：单笔限额50万，当日累计限额50万，月累计无限额</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南京银行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宁波银行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江苏银行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东莞银行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银联：单笔限额100万，当日累计、月累计无限额（仅支持网上交易） </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杭州银行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上海农商行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银联：单笔限额100万，当日累计、月累计无限额（仅支持网上交易） </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顺德农商行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Default="007D617D" w:rsidP="007D617D">
            <w:pPr>
              <w:widowControl/>
              <w:jc w:val="center"/>
              <w:rPr>
                <w:rFonts w:ascii="微软雅黑" w:eastAsia="微软雅黑" w:hAnsi="微软雅黑" w:cs="宋体" w:hint="eastAsia"/>
                <w:color w:val="000000"/>
                <w:kern w:val="0"/>
                <w:sz w:val="18"/>
                <w:szCs w:val="18"/>
              </w:rPr>
            </w:pPr>
            <w:r w:rsidRPr="007D617D">
              <w:rPr>
                <w:rFonts w:ascii="微软雅黑" w:eastAsia="微软雅黑" w:hAnsi="微软雅黑" w:cs="宋体" w:hint="eastAsia"/>
                <w:color w:val="000000"/>
                <w:kern w:val="0"/>
                <w:sz w:val="18"/>
                <w:szCs w:val="18"/>
              </w:rPr>
              <w:t>长沙市商业</w:t>
            </w:r>
          </w:p>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温州银行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银联：单笔限额100万，当日累计、月累计无限额（仅支持网上交易） </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齐鲁银行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金华银行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835"/>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广东南粤银行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银联：单笔限额100万，当日累计、月累计无限额（仅支持网上交易）</w:t>
            </w:r>
          </w:p>
        </w:tc>
      </w:tr>
      <w:tr w:rsidR="007D617D" w:rsidRPr="007D617D" w:rsidTr="007D617D">
        <w:trPr>
          <w:trHeight w:val="556"/>
        </w:trPr>
        <w:tc>
          <w:tcPr>
            <w:tcW w:w="1435" w:type="dxa"/>
            <w:tcBorders>
              <w:top w:val="nil"/>
              <w:left w:val="single" w:sz="4" w:space="0" w:color="auto"/>
              <w:bottom w:val="single" w:sz="4" w:space="0" w:color="auto"/>
              <w:right w:val="single" w:sz="4" w:space="0" w:color="auto"/>
            </w:tcBorders>
            <w:shd w:val="clear" w:color="auto" w:fill="auto"/>
            <w:vAlign w:val="center"/>
            <w:hideMark/>
          </w:tcPr>
          <w:p w:rsidR="007D617D" w:rsidRPr="007D617D" w:rsidRDefault="007D617D" w:rsidP="007D617D">
            <w:pPr>
              <w:widowControl/>
              <w:jc w:val="center"/>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上海银行</w:t>
            </w:r>
          </w:p>
        </w:tc>
        <w:tc>
          <w:tcPr>
            <w:tcW w:w="4252"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 xml:space="preserve">　</w:t>
            </w:r>
          </w:p>
        </w:tc>
        <w:tc>
          <w:tcPr>
            <w:tcW w:w="3431" w:type="dxa"/>
            <w:tcBorders>
              <w:top w:val="nil"/>
              <w:left w:val="nil"/>
              <w:bottom w:val="single" w:sz="4" w:space="0" w:color="auto"/>
              <w:right w:val="single" w:sz="4" w:space="0" w:color="auto"/>
            </w:tcBorders>
            <w:shd w:val="clear" w:color="auto" w:fill="auto"/>
            <w:vAlign w:val="center"/>
            <w:hideMark/>
          </w:tcPr>
          <w:p w:rsidR="007D617D" w:rsidRPr="007D617D" w:rsidRDefault="007D617D" w:rsidP="007D617D">
            <w:pPr>
              <w:widowControl/>
              <w:jc w:val="left"/>
              <w:rPr>
                <w:rFonts w:ascii="微软雅黑" w:eastAsia="微软雅黑" w:hAnsi="微软雅黑" w:cs="宋体"/>
                <w:color w:val="000000"/>
                <w:kern w:val="0"/>
                <w:sz w:val="18"/>
                <w:szCs w:val="18"/>
              </w:rPr>
            </w:pPr>
            <w:r w:rsidRPr="007D617D">
              <w:rPr>
                <w:rFonts w:ascii="微软雅黑" w:eastAsia="微软雅黑" w:hAnsi="微软雅黑" w:cs="宋体" w:hint="eastAsia"/>
                <w:color w:val="000000"/>
                <w:kern w:val="0"/>
                <w:sz w:val="18"/>
                <w:szCs w:val="18"/>
              </w:rPr>
              <w:t>通联：单笔限额5000，当日累计限额1万，月累计2万</w:t>
            </w:r>
          </w:p>
        </w:tc>
      </w:tr>
    </w:tbl>
    <w:p w:rsidR="003C0499" w:rsidRPr="007D617D" w:rsidRDefault="003C0499" w:rsidP="007D4C93">
      <w:pPr>
        <w:rPr>
          <w:rFonts w:ascii="微软雅黑" w:eastAsia="微软雅黑" w:hAnsi="微软雅黑" w:hint="eastAsia"/>
        </w:rPr>
      </w:pPr>
    </w:p>
    <w:p w:rsidR="0043606B" w:rsidRPr="00BA34C0" w:rsidRDefault="0043606B" w:rsidP="0043606B">
      <w:pPr>
        <w:spacing w:line="276" w:lineRule="auto"/>
        <w:rPr>
          <w:rFonts w:ascii="微软雅黑" w:eastAsia="微软雅黑" w:hAnsi="微软雅黑"/>
        </w:rPr>
      </w:pPr>
      <w:r w:rsidRPr="00BA34C0">
        <w:rPr>
          <w:rFonts w:ascii="微软雅黑" w:eastAsia="微软雅黑" w:hAnsi="微软雅黑" w:hint="eastAsia"/>
        </w:rPr>
        <w:t>2、开通网上交易</w:t>
      </w:r>
    </w:p>
    <w:p w:rsidR="00C8182D" w:rsidRPr="00BA34C0" w:rsidRDefault="0043606B" w:rsidP="00C8182D">
      <w:pPr>
        <w:spacing w:line="276" w:lineRule="auto"/>
        <w:ind w:firstLineChars="200" w:firstLine="420"/>
        <w:rPr>
          <w:rFonts w:ascii="微软雅黑" w:eastAsia="微软雅黑" w:hAnsi="微软雅黑"/>
        </w:rPr>
      </w:pPr>
      <w:r w:rsidRPr="00BA34C0">
        <w:rPr>
          <w:rFonts w:ascii="微软雅黑" w:eastAsia="微软雅黑" w:hAnsi="微软雅黑" w:hint="eastAsia"/>
        </w:rPr>
        <w:t>您可以使用浏览器(支持IE，360，搜狗，谷歌，猎豹，火狐等常用浏览器)输入网址</w:t>
      </w:r>
      <w:hyperlink r:id="rId6" w:history="1">
        <w:r w:rsidR="00D51474" w:rsidRPr="00BA34C0">
          <w:rPr>
            <w:rStyle w:val="a3"/>
            <w:szCs w:val="21"/>
          </w:rPr>
          <w:t>https://e.jsfund.cn/index</w:t>
        </w:r>
      </w:hyperlink>
      <w:r w:rsidR="00D51474" w:rsidRPr="00BA34C0">
        <w:rPr>
          <w:rFonts w:hint="eastAsia"/>
          <w:szCs w:val="21"/>
        </w:rPr>
        <w:t xml:space="preserve"> </w:t>
      </w:r>
      <w:r w:rsidRPr="00BA34C0">
        <w:rPr>
          <w:rFonts w:ascii="微软雅黑" w:eastAsia="微软雅黑" w:hAnsi="微软雅黑" w:hint="eastAsia"/>
          <w:szCs w:val="21"/>
        </w:rPr>
        <w:t>，</w:t>
      </w:r>
      <w:r w:rsidRPr="00BA34C0">
        <w:rPr>
          <w:rFonts w:ascii="微软雅黑" w:eastAsia="微软雅黑" w:hAnsi="微软雅黑" w:hint="eastAsia"/>
        </w:rPr>
        <w:t>直接进入网上交易平台首页</w:t>
      </w:r>
      <w:r w:rsidR="00C8182D" w:rsidRPr="00BA34C0">
        <w:rPr>
          <w:rFonts w:ascii="微软雅黑" w:eastAsia="微软雅黑" w:hAnsi="微软雅黑" w:hint="eastAsia"/>
        </w:rPr>
        <w:t>，在页面右上方点击“登录”或“注册”。</w:t>
      </w:r>
    </w:p>
    <w:p w:rsidR="006C3CB4" w:rsidRPr="00BA34C0" w:rsidRDefault="00DB4573" w:rsidP="006C3CB4">
      <w:pPr>
        <w:spacing w:line="276" w:lineRule="auto"/>
        <w:rPr>
          <w:rFonts w:ascii="微软雅黑" w:eastAsia="微软雅黑" w:hAnsi="微软雅黑"/>
        </w:rPr>
      </w:pPr>
      <w:r>
        <w:rPr>
          <w:rFonts w:ascii="微软雅黑" w:eastAsia="微软雅黑" w:hAnsi="微软雅黑"/>
          <w:noProof/>
        </w:rPr>
        <w:pict>
          <v:oval id="_x0000_s1028" style="position:absolute;left:0;text-align:left;margin-left:280.9pt;margin-top:52.6pt;width:95.8pt;height:25.05pt;z-index:251659264" strokecolor="red" strokeweight="1.5pt">
            <v:fill opacity="0"/>
          </v:oval>
        </w:pict>
      </w:r>
      <w:r w:rsidR="006C3CB4" w:rsidRPr="00BA34C0">
        <w:rPr>
          <w:rFonts w:ascii="微软雅黑" w:eastAsia="微软雅黑" w:hAnsi="微软雅黑" w:hint="eastAsia"/>
          <w:noProof/>
        </w:rPr>
        <w:drawing>
          <wp:inline distT="0" distB="0" distL="0" distR="0">
            <wp:extent cx="5562766" cy="4771343"/>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568438" cy="4776208"/>
                    </a:xfrm>
                    <a:prstGeom prst="rect">
                      <a:avLst/>
                    </a:prstGeom>
                    <a:noFill/>
                    <a:ln w="9525">
                      <a:noFill/>
                      <a:miter lim="800000"/>
                      <a:headEnd/>
                      <a:tailEnd/>
                    </a:ln>
                  </pic:spPr>
                </pic:pic>
              </a:graphicData>
            </a:graphic>
          </wp:inline>
        </w:drawing>
      </w:r>
    </w:p>
    <w:p w:rsidR="00C8182D" w:rsidRPr="00BA34C0" w:rsidRDefault="00C8182D" w:rsidP="0043606B">
      <w:pPr>
        <w:spacing w:line="276" w:lineRule="auto"/>
        <w:ind w:firstLineChars="200" w:firstLine="420"/>
        <w:rPr>
          <w:rFonts w:ascii="微软雅黑" w:eastAsia="微软雅黑" w:hAnsi="微软雅黑"/>
        </w:rPr>
      </w:pPr>
    </w:p>
    <w:p w:rsidR="0043606B" w:rsidRPr="00BA34C0" w:rsidRDefault="00B20378" w:rsidP="0043606B">
      <w:pPr>
        <w:spacing w:line="276" w:lineRule="auto"/>
        <w:ind w:firstLineChars="200" w:firstLine="420"/>
        <w:rPr>
          <w:rFonts w:ascii="微软雅黑" w:eastAsia="微软雅黑" w:hAnsi="微软雅黑"/>
        </w:rPr>
      </w:pPr>
      <w:r w:rsidRPr="00BA34C0">
        <w:rPr>
          <w:rFonts w:ascii="微软雅黑" w:eastAsia="微软雅黑" w:hAnsi="微软雅黑" w:hint="eastAsia"/>
        </w:rPr>
        <w:t>您也可以访问嘉实基金官网</w:t>
      </w:r>
      <w:hyperlink r:id="rId8" w:history="1">
        <w:r w:rsidRPr="00BA34C0">
          <w:rPr>
            <w:rStyle w:val="a3"/>
            <w:rFonts w:ascii="微软雅黑" w:eastAsia="微软雅黑" w:hAnsi="微软雅黑"/>
          </w:rPr>
          <w:t>http://www.jsfund.cn</w:t>
        </w:r>
        <w:r w:rsidRPr="00BA34C0">
          <w:rPr>
            <w:rStyle w:val="a3"/>
            <w:rFonts w:ascii="微软雅黑" w:eastAsia="微软雅黑" w:hAnsi="微软雅黑" w:hint="eastAsia"/>
          </w:rPr>
          <w:t>/</w:t>
        </w:r>
      </w:hyperlink>
      <w:r w:rsidRPr="00BA34C0">
        <w:rPr>
          <w:rFonts w:ascii="微软雅黑" w:eastAsia="微软雅黑" w:hAnsi="微软雅黑" w:hint="eastAsia"/>
        </w:rPr>
        <w:t>，在页面</w:t>
      </w:r>
      <w:r w:rsidR="00D51474" w:rsidRPr="00BA34C0">
        <w:rPr>
          <w:rFonts w:ascii="微软雅黑" w:eastAsia="微软雅黑" w:hAnsi="微软雅黑" w:hint="eastAsia"/>
        </w:rPr>
        <w:t>右</w:t>
      </w:r>
      <w:r w:rsidRPr="00BA34C0">
        <w:rPr>
          <w:rFonts w:ascii="微软雅黑" w:eastAsia="微软雅黑" w:hAnsi="微软雅黑" w:hint="eastAsia"/>
        </w:rPr>
        <w:t>上方点击“</w:t>
      </w:r>
      <w:r w:rsidR="00C8182D" w:rsidRPr="00BA34C0">
        <w:rPr>
          <w:rFonts w:ascii="微软雅黑" w:eastAsia="微软雅黑" w:hAnsi="微软雅黑" w:hint="eastAsia"/>
        </w:rPr>
        <w:t>个人</w:t>
      </w:r>
      <w:r w:rsidRPr="00BA34C0">
        <w:rPr>
          <w:rFonts w:ascii="微软雅黑" w:eastAsia="微软雅黑" w:hAnsi="微软雅黑" w:hint="eastAsia"/>
        </w:rPr>
        <w:t>登录”</w:t>
      </w:r>
      <w:r w:rsidR="006C3CB4" w:rsidRPr="00BA34C0">
        <w:rPr>
          <w:rFonts w:ascii="微软雅黑" w:eastAsia="微软雅黑" w:hAnsi="微软雅黑" w:hint="eastAsia"/>
        </w:rPr>
        <w:t>或</w:t>
      </w:r>
      <w:r w:rsidR="00C8182D" w:rsidRPr="00BA34C0">
        <w:rPr>
          <w:rFonts w:ascii="微软雅黑" w:eastAsia="微软雅黑" w:hAnsi="微软雅黑" w:hint="eastAsia"/>
        </w:rPr>
        <w:t>“机构登录</w:t>
      </w:r>
      <w:r w:rsidR="00C8182D" w:rsidRPr="00BA34C0">
        <w:rPr>
          <w:rFonts w:ascii="微软雅黑" w:eastAsia="微软雅黑" w:hAnsi="微软雅黑"/>
        </w:rPr>
        <w:t>”</w:t>
      </w:r>
      <w:r w:rsidRPr="00BA34C0">
        <w:rPr>
          <w:rFonts w:ascii="微软雅黑" w:eastAsia="微软雅黑" w:hAnsi="微软雅黑" w:hint="eastAsia"/>
        </w:rPr>
        <w:t>。</w:t>
      </w:r>
    </w:p>
    <w:p w:rsidR="006C3CB4" w:rsidRPr="00BA34C0" w:rsidRDefault="00DB4573" w:rsidP="006C3CB4">
      <w:pPr>
        <w:spacing w:line="276" w:lineRule="auto"/>
        <w:rPr>
          <w:rFonts w:ascii="微软雅黑" w:eastAsia="微软雅黑" w:hAnsi="微软雅黑"/>
        </w:rPr>
      </w:pPr>
      <w:r>
        <w:rPr>
          <w:rFonts w:ascii="微软雅黑" w:eastAsia="微软雅黑" w:hAnsi="微软雅黑"/>
          <w:noProof/>
        </w:rPr>
        <w:lastRenderedPageBreak/>
        <w:pict>
          <v:oval id="_x0000_s1026" style="position:absolute;left:0;text-align:left;margin-left:312.2pt;margin-top:108.3pt;width:107.05pt;height:35.05pt;z-index:251658240" strokecolor="red" strokeweight="1.5pt">
            <v:fill opacity="0"/>
          </v:oval>
        </w:pict>
      </w:r>
      <w:r w:rsidR="006C3CB4" w:rsidRPr="00BA34C0">
        <w:rPr>
          <w:rFonts w:ascii="微软雅黑" w:eastAsia="微软雅黑" w:hAnsi="微软雅黑"/>
          <w:noProof/>
        </w:rPr>
        <w:drawing>
          <wp:inline distT="0" distB="0" distL="0" distR="0">
            <wp:extent cx="5658182" cy="4842120"/>
            <wp:effectExtent l="1905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658181" cy="4842119"/>
                    </a:xfrm>
                    <a:prstGeom prst="rect">
                      <a:avLst/>
                    </a:prstGeom>
                    <a:noFill/>
                    <a:ln w="9525">
                      <a:noFill/>
                      <a:miter lim="800000"/>
                      <a:headEnd/>
                      <a:tailEnd/>
                    </a:ln>
                  </pic:spPr>
                </pic:pic>
              </a:graphicData>
            </a:graphic>
          </wp:inline>
        </w:drawing>
      </w:r>
    </w:p>
    <w:p w:rsidR="0043606B" w:rsidRPr="00BA34C0" w:rsidRDefault="0043606B" w:rsidP="00B20378">
      <w:pPr>
        <w:pStyle w:val="a4"/>
        <w:ind w:firstLineChars="0" w:firstLine="0"/>
        <w:jc w:val="center"/>
        <w:rPr>
          <w:rFonts w:ascii="微软雅黑" w:eastAsia="微软雅黑" w:hAnsi="微软雅黑"/>
          <w:sz w:val="18"/>
          <w:szCs w:val="18"/>
        </w:rPr>
      </w:pPr>
    </w:p>
    <w:p w:rsidR="00252131" w:rsidRPr="00BA34C0" w:rsidRDefault="0043606B" w:rsidP="00252131">
      <w:pPr>
        <w:spacing w:line="276" w:lineRule="auto"/>
        <w:ind w:firstLineChars="200" w:firstLine="420"/>
        <w:rPr>
          <w:rFonts w:ascii="微软雅黑" w:eastAsia="微软雅黑" w:hAnsi="微软雅黑"/>
        </w:rPr>
      </w:pPr>
      <w:r w:rsidRPr="00BA34C0">
        <w:rPr>
          <w:rFonts w:ascii="微软雅黑" w:eastAsia="微软雅黑" w:hAnsi="微软雅黑" w:hint="eastAsia"/>
        </w:rPr>
        <w:t>如果您已在嘉实电子平台（网上交易、手机、微信）购买过基金，请直接登录。如果您是首次访问嘉实网上交易平台，请点击开户按钮</w:t>
      </w:r>
      <w:r w:rsidR="00B20378" w:rsidRPr="00BA34C0">
        <w:rPr>
          <w:rFonts w:ascii="微软雅黑" w:eastAsia="微软雅黑" w:hAnsi="微软雅黑" w:hint="eastAsia"/>
        </w:rPr>
        <w:t>后</w:t>
      </w:r>
      <w:r w:rsidRPr="00BA34C0">
        <w:rPr>
          <w:rFonts w:ascii="微软雅黑" w:eastAsia="微软雅黑" w:hAnsi="微软雅黑" w:hint="eastAsia"/>
        </w:rPr>
        <w:t>根据提示完成开户操作。</w:t>
      </w:r>
    </w:p>
    <w:p w:rsidR="006C3CB4" w:rsidRPr="00BA34C0" w:rsidRDefault="006C3CB4" w:rsidP="006C3CB4">
      <w:pPr>
        <w:spacing w:line="276" w:lineRule="auto"/>
        <w:rPr>
          <w:rFonts w:ascii="微软雅黑" w:eastAsia="微软雅黑" w:hAnsi="微软雅黑"/>
        </w:rPr>
      </w:pPr>
      <w:r w:rsidRPr="00BA34C0">
        <w:rPr>
          <w:rFonts w:ascii="微软雅黑" w:eastAsia="微软雅黑" w:hAnsi="微软雅黑"/>
          <w:noProof/>
        </w:rPr>
        <w:lastRenderedPageBreak/>
        <w:drawing>
          <wp:inline distT="0" distB="0" distL="0" distR="0">
            <wp:extent cx="5759450" cy="4917263"/>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59450" cy="4917263"/>
                    </a:xfrm>
                    <a:prstGeom prst="rect">
                      <a:avLst/>
                    </a:prstGeom>
                    <a:noFill/>
                    <a:ln w="9525">
                      <a:noFill/>
                      <a:miter lim="800000"/>
                      <a:headEnd/>
                      <a:tailEnd/>
                    </a:ln>
                  </pic:spPr>
                </pic:pic>
              </a:graphicData>
            </a:graphic>
          </wp:inline>
        </w:drawing>
      </w:r>
    </w:p>
    <w:p w:rsidR="00620ED8" w:rsidRPr="00BA34C0" w:rsidRDefault="0006346E" w:rsidP="0043606B">
      <w:pPr>
        <w:spacing w:line="276" w:lineRule="auto"/>
        <w:rPr>
          <w:rFonts w:ascii="微软雅黑" w:eastAsia="微软雅黑" w:hAnsi="微软雅黑"/>
          <w:b/>
        </w:rPr>
      </w:pPr>
      <w:r w:rsidRPr="00BA34C0">
        <w:rPr>
          <w:rFonts w:ascii="微软雅黑" w:eastAsia="微软雅黑" w:hAnsi="微软雅黑" w:hint="eastAsia"/>
          <w:b/>
        </w:rPr>
        <w:t>二、理财嘉APP</w:t>
      </w:r>
      <w:r w:rsidR="00620ED8" w:rsidRPr="00BA34C0">
        <w:rPr>
          <w:rFonts w:ascii="微软雅黑" w:eastAsia="微软雅黑" w:hAnsi="微软雅黑" w:hint="eastAsia"/>
          <w:b/>
        </w:rPr>
        <w:t>平台</w:t>
      </w:r>
    </w:p>
    <w:p w:rsidR="00620ED8" w:rsidRDefault="00CC109A" w:rsidP="0043606B">
      <w:pPr>
        <w:spacing w:line="276" w:lineRule="auto"/>
        <w:rPr>
          <w:rFonts w:ascii="微软雅黑" w:eastAsia="微软雅黑" w:hAnsi="微软雅黑" w:hint="eastAsia"/>
        </w:rPr>
      </w:pPr>
      <w:r w:rsidRPr="00BA34C0">
        <w:rPr>
          <w:rFonts w:ascii="微软雅黑" w:eastAsia="微软雅黑" w:hAnsi="微软雅黑" w:hint="eastAsia"/>
        </w:rPr>
        <w:t>1</w:t>
      </w:r>
      <w:r w:rsidR="0006346E" w:rsidRPr="00BA34C0">
        <w:rPr>
          <w:rFonts w:ascii="微软雅黑" w:eastAsia="微软雅黑" w:hAnsi="微软雅黑" w:hint="eastAsia"/>
        </w:rPr>
        <w:t>、APP</w:t>
      </w:r>
      <w:r w:rsidRPr="00BA34C0">
        <w:rPr>
          <w:rFonts w:ascii="微软雅黑" w:eastAsia="微软雅黑" w:hAnsi="微软雅黑" w:hint="eastAsia"/>
        </w:rPr>
        <w:t>交易开户前的准备事项</w:t>
      </w:r>
    </w:p>
    <w:tbl>
      <w:tblPr>
        <w:tblW w:w="8947" w:type="dxa"/>
        <w:tblInd w:w="91" w:type="dxa"/>
        <w:tblLook w:val="04A0"/>
      </w:tblPr>
      <w:tblGrid>
        <w:gridCol w:w="1554"/>
        <w:gridCol w:w="3992"/>
        <w:gridCol w:w="3401"/>
      </w:tblGrid>
      <w:tr w:rsidR="007F1FA5" w:rsidRPr="007F1FA5" w:rsidTr="007F1FA5">
        <w:trPr>
          <w:trHeight w:val="290"/>
        </w:trPr>
        <w:tc>
          <w:tcPr>
            <w:tcW w:w="1554"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F1FA5" w:rsidRPr="007F1FA5" w:rsidRDefault="007F1FA5" w:rsidP="007F1FA5">
            <w:pPr>
              <w:widowControl/>
              <w:jc w:val="center"/>
              <w:rPr>
                <w:rFonts w:ascii="微软雅黑" w:eastAsia="微软雅黑" w:hAnsi="微软雅黑" w:cs="宋体"/>
                <w:b/>
                <w:bCs/>
                <w:color w:val="000000"/>
                <w:kern w:val="0"/>
                <w:sz w:val="18"/>
                <w:szCs w:val="18"/>
              </w:rPr>
            </w:pPr>
            <w:r w:rsidRPr="007F1FA5">
              <w:rPr>
                <w:rFonts w:ascii="微软雅黑" w:eastAsia="微软雅黑" w:hAnsi="微软雅黑" w:cs="宋体" w:hint="eastAsia"/>
                <w:b/>
                <w:bCs/>
                <w:color w:val="000000"/>
                <w:kern w:val="0"/>
                <w:sz w:val="18"/>
                <w:szCs w:val="18"/>
              </w:rPr>
              <w:t>银行名称</w:t>
            </w:r>
          </w:p>
        </w:tc>
        <w:tc>
          <w:tcPr>
            <w:tcW w:w="3992" w:type="dxa"/>
            <w:tcBorders>
              <w:top w:val="single" w:sz="8" w:space="0" w:color="auto"/>
              <w:left w:val="nil"/>
              <w:bottom w:val="single" w:sz="8" w:space="0" w:color="auto"/>
              <w:right w:val="single" w:sz="8" w:space="0" w:color="auto"/>
            </w:tcBorders>
            <w:shd w:val="clear" w:color="000000" w:fill="BFBFBF"/>
            <w:vAlign w:val="center"/>
            <w:hideMark/>
          </w:tcPr>
          <w:p w:rsidR="007F1FA5" w:rsidRPr="007F1FA5" w:rsidRDefault="007F1FA5" w:rsidP="007F1FA5">
            <w:pPr>
              <w:widowControl/>
              <w:jc w:val="center"/>
              <w:rPr>
                <w:rFonts w:ascii="微软雅黑" w:eastAsia="微软雅黑" w:hAnsi="微软雅黑" w:cs="宋体"/>
                <w:b/>
                <w:bCs/>
                <w:color w:val="000000"/>
                <w:kern w:val="0"/>
                <w:sz w:val="18"/>
                <w:szCs w:val="18"/>
              </w:rPr>
            </w:pPr>
            <w:r w:rsidRPr="007F1FA5">
              <w:rPr>
                <w:rFonts w:ascii="微软雅黑" w:eastAsia="微软雅黑" w:hAnsi="微软雅黑" w:cs="宋体" w:hint="eastAsia"/>
                <w:b/>
                <w:bCs/>
                <w:color w:val="000000"/>
                <w:kern w:val="0"/>
                <w:sz w:val="18"/>
                <w:szCs w:val="18"/>
              </w:rPr>
              <w:t>新开户准备事项</w:t>
            </w:r>
          </w:p>
        </w:tc>
        <w:tc>
          <w:tcPr>
            <w:tcW w:w="3401" w:type="dxa"/>
            <w:tcBorders>
              <w:top w:val="single" w:sz="8" w:space="0" w:color="auto"/>
              <w:left w:val="nil"/>
              <w:bottom w:val="single" w:sz="8" w:space="0" w:color="auto"/>
              <w:right w:val="single" w:sz="8" w:space="0" w:color="auto"/>
            </w:tcBorders>
            <w:shd w:val="clear" w:color="000000" w:fill="BFBFBF"/>
            <w:vAlign w:val="center"/>
            <w:hideMark/>
          </w:tcPr>
          <w:p w:rsidR="007F1FA5" w:rsidRPr="007F1FA5" w:rsidRDefault="007F1FA5" w:rsidP="007F1FA5">
            <w:pPr>
              <w:widowControl/>
              <w:jc w:val="center"/>
              <w:rPr>
                <w:rFonts w:ascii="微软雅黑" w:eastAsia="微软雅黑" w:hAnsi="微软雅黑" w:cs="宋体"/>
                <w:b/>
                <w:bCs/>
                <w:color w:val="000000"/>
                <w:kern w:val="0"/>
                <w:sz w:val="18"/>
                <w:szCs w:val="18"/>
              </w:rPr>
            </w:pPr>
            <w:r w:rsidRPr="007F1FA5">
              <w:rPr>
                <w:rFonts w:ascii="微软雅黑" w:eastAsia="微软雅黑" w:hAnsi="微软雅黑" w:cs="宋体" w:hint="eastAsia"/>
                <w:b/>
                <w:bCs/>
                <w:color w:val="000000"/>
                <w:kern w:val="0"/>
                <w:sz w:val="18"/>
                <w:szCs w:val="18"/>
              </w:rPr>
              <w:t>银行卡支付限额</w:t>
            </w:r>
          </w:p>
        </w:tc>
      </w:tr>
      <w:tr w:rsidR="007F1FA5" w:rsidRPr="007F1FA5" w:rsidTr="007F1FA5">
        <w:trPr>
          <w:trHeight w:val="2113"/>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中国工商银行</w:t>
            </w:r>
          </w:p>
        </w:tc>
        <w:tc>
          <w:tcPr>
            <w:tcW w:w="3992" w:type="dxa"/>
            <w:tcBorders>
              <w:top w:val="single" w:sz="4" w:space="0" w:color="auto"/>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请在银行柜台让柜员使用4204交易将现用手机号设置为“柜面认证”手机号。并提示柜员，先删除不用的手机号，再新增现用手机号，“银行预留标示”选择“是”，该手机号的“国家代码项”输入“+86”而不是“86”，设置该手机号为“默认”。如您还无法收到短信，请提示柜员新增一个默认的手机号为“0”，然后把原来的手机号设置成“默认手机号”即可。</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单笔限额100万，当日累计限额100万，月累计500万。</w:t>
            </w:r>
          </w:p>
        </w:tc>
      </w:tr>
      <w:tr w:rsidR="007F1FA5" w:rsidRPr="007F1FA5" w:rsidTr="007F1FA5">
        <w:trPr>
          <w:trHeight w:val="1361"/>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中国农业银行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请您使用现用的手机号在柜台开通“短消息服务”功能，或通过网银中“客户服务”菜单的“电子银行渠道管理”菜单中开通短消息服务功能（部分地区用户的网银无此入口，必须去银行柜台办理）</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支付无限额；未通过快捷身份验证或签约农行代扣协议的农行卡，单笔限额5万，当日累计限额10万。</w:t>
            </w:r>
          </w:p>
        </w:tc>
      </w:tr>
      <w:tr w:rsidR="007F1FA5" w:rsidRPr="007F1FA5" w:rsidTr="007F1FA5">
        <w:trPr>
          <w:trHeight w:val="950"/>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lastRenderedPageBreak/>
              <w:t>中国建设银行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请提前在银行柜台将您现用手机号设置为网银或手机银行的预留手机号，并提示柜员该手机号为快捷支付所用。</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单笔限额50万，当日累计限额50万。</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中国银行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理财嘉开户单笔50万，日限额200万，月限额500万</w:t>
            </w:r>
          </w:p>
        </w:tc>
      </w:tr>
      <w:tr w:rsidR="007F1FA5" w:rsidRPr="007F1FA5" w:rsidTr="007F1FA5">
        <w:trPr>
          <w:trHeight w:val="783"/>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招商银行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请在网上银行的“一卡通”栏目的“网上支付”中设置网上支付限额</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(在线支付)：支付上限请参考您在招行网银设定的限额。</w:t>
            </w:r>
          </w:p>
        </w:tc>
      </w:tr>
      <w:tr w:rsidR="007F1FA5" w:rsidRPr="007F1FA5" w:rsidTr="007F1FA5">
        <w:trPr>
          <w:trHeight w:val="275"/>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交通银行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(快捷支付)：支付无限额。</w:t>
            </w:r>
          </w:p>
        </w:tc>
      </w:tr>
      <w:tr w:rsidR="007F1FA5" w:rsidRPr="007F1FA5" w:rsidTr="007F1FA5">
        <w:trPr>
          <w:trHeight w:val="1044"/>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浦发银行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单笔限额800万，当日累计限额5000万；通过理财嘉开户的浦发卡单笔限额50万，当日累计限额200万，月累计500万。</w:t>
            </w:r>
          </w:p>
        </w:tc>
      </w:tr>
      <w:tr w:rsidR="007F1FA5" w:rsidRPr="007F1FA5" w:rsidTr="007F1FA5">
        <w:trPr>
          <w:trHeight w:val="1044"/>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中国民生银行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理财嘉银联开户方式单笔限额100万，日限额100万。网上交易民生理财直付开户方式单笔500万，单日5000万。</w:t>
            </w:r>
          </w:p>
        </w:tc>
      </w:tr>
      <w:tr w:rsidR="007F1FA5" w:rsidRPr="007F1FA5" w:rsidTr="007F1FA5">
        <w:trPr>
          <w:trHeight w:val="275"/>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广发银行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单笔支付限额为1000万。</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华夏银行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单笔限额50万，当日累计限额200万，月累计500万。</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平安银行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单笔限额5万，当日累计限额5万。</w:t>
            </w:r>
          </w:p>
        </w:tc>
      </w:tr>
      <w:tr w:rsidR="007F1FA5" w:rsidRPr="007F1FA5" w:rsidTr="007F1FA5">
        <w:trPr>
          <w:trHeight w:val="275"/>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中信银行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单笔限额100万</w:t>
            </w:r>
          </w:p>
        </w:tc>
      </w:tr>
      <w:tr w:rsidR="007F1FA5" w:rsidRPr="007F1FA5" w:rsidTr="007F1FA5">
        <w:trPr>
          <w:trHeight w:val="783"/>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兴业银行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理财嘉银联开户单笔限额5万，当日无累计限额。网上交易银联开户限额100万。</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中国光大银行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理财嘉银联开户支付无限额。</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Default="007F1FA5" w:rsidP="007F1FA5">
            <w:pPr>
              <w:widowControl/>
              <w:jc w:val="center"/>
              <w:rPr>
                <w:rFonts w:ascii="微软雅黑" w:eastAsia="微软雅黑" w:hAnsi="微软雅黑" w:cs="宋体" w:hint="eastAsia"/>
                <w:color w:val="000000"/>
                <w:kern w:val="0"/>
                <w:sz w:val="18"/>
                <w:szCs w:val="18"/>
              </w:rPr>
            </w:pPr>
            <w:r w:rsidRPr="007F1FA5">
              <w:rPr>
                <w:rFonts w:ascii="微软雅黑" w:eastAsia="微软雅黑" w:hAnsi="微软雅黑" w:cs="宋体" w:hint="eastAsia"/>
                <w:color w:val="000000"/>
                <w:kern w:val="0"/>
                <w:sz w:val="18"/>
                <w:szCs w:val="18"/>
              </w:rPr>
              <w:t>中国邮政</w:t>
            </w:r>
          </w:p>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储蓄银行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单笔限额50万，当日累计限额50万。</w:t>
            </w:r>
          </w:p>
        </w:tc>
      </w:tr>
      <w:tr w:rsidR="007F1FA5" w:rsidRPr="007F1FA5" w:rsidTr="007F1FA5">
        <w:trPr>
          <w:trHeight w:val="522"/>
        </w:trPr>
        <w:tc>
          <w:tcPr>
            <w:tcW w:w="1554" w:type="dxa"/>
            <w:tcBorders>
              <w:top w:val="nil"/>
              <w:left w:val="single" w:sz="4" w:space="0" w:color="auto"/>
              <w:bottom w:val="single" w:sz="4" w:space="0" w:color="auto"/>
              <w:right w:val="single" w:sz="4" w:space="0" w:color="auto"/>
            </w:tcBorders>
            <w:shd w:val="clear" w:color="auto" w:fill="auto"/>
            <w:vAlign w:val="center"/>
            <w:hideMark/>
          </w:tcPr>
          <w:p w:rsidR="007F1FA5" w:rsidRPr="007F1FA5" w:rsidRDefault="007F1FA5" w:rsidP="007F1FA5">
            <w:pPr>
              <w:widowControl/>
              <w:jc w:val="center"/>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上海银行</w:t>
            </w:r>
          </w:p>
        </w:tc>
        <w:tc>
          <w:tcPr>
            <w:tcW w:w="3992"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 xml:space="preserve">　</w:t>
            </w:r>
          </w:p>
        </w:tc>
        <w:tc>
          <w:tcPr>
            <w:tcW w:w="3401" w:type="dxa"/>
            <w:tcBorders>
              <w:top w:val="nil"/>
              <w:left w:val="nil"/>
              <w:bottom w:val="single" w:sz="4" w:space="0" w:color="auto"/>
              <w:right w:val="single" w:sz="4" w:space="0" w:color="auto"/>
            </w:tcBorders>
            <w:shd w:val="clear" w:color="auto" w:fill="auto"/>
            <w:vAlign w:val="center"/>
            <w:hideMark/>
          </w:tcPr>
          <w:p w:rsidR="007F1FA5" w:rsidRPr="007F1FA5" w:rsidRDefault="007F1FA5" w:rsidP="007F1FA5">
            <w:pPr>
              <w:widowControl/>
              <w:jc w:val="left"/>
              <w:rPr>
                <w:rFonts w:ascii="微软雅黑" w:eastAsia="微软雅黑" w:hAnsi="微软雅黑" w:cs="宋体"/>
                <w:color w:val="000000"/>
                <w:kern w:val="0"/>
                <w:sz w:val="18"/>
                <w:szCs w:val="18"/>
              </w:rPr>
            </w:pPr>
            <w:r w:rsidRPr="007F1FA5">
              <w:rPr>
                <w:rFonts w:ascii="微软雅黑" w:eastAsia="微软雅黑" w:hAnsi="微软雅黑" w:cs="宋体" w:hint="eastAsia"/>
                <w:color w:val="000000"/>
                <w:kern w:val="0"/>
                <w:sz w:val="18"/>
                <w:szCs w:val="18"/>
              </w:rPr>
              <w:t>单笔限额20万，当日累计限额20万，月累计20万。</w:t>
            </w:r>
          </w:p>
        </w:tc>
      </w:tr>
    </w:tbl>
    <w:p w:rsidR="007F1FA5" w:rsidRPr="00BA34C0" w:rsidRDefault="007F1FA5" w:rsidP="0043606B">
      <w:pPr>
        <w:spacing w:line="276" w:lineRule="auto"/>
        <w:rPr>
          <w:rFonts w:ascii="微软雅黑" w:eastAsia="微软雅黑" w:hAnsi="微软雅黑"/>
        </w:rPr>
      </w:pPr>
    </w:p>
    <w:p w:rsidR="00CC109A" w:rsidRPr="00BA34C0" w:rsidRDefault="00CC109A" w:rsidP="0054382B">
      <w:pPr>
        <w:spacing w:line="276" w:lineRule="auto"/>
        <w:jc w:val="left"/>
        <w:rPr>
          <w:rFonts w:ascii="微软雅黑" w:eastAsia="微软雅黑" w:hAnsi="微软雅黑"/>
        </w:rPr>
      </w:pPr>
      <w:r w:rsidRPr="00BA34C0">
        <w:rPr>
          <w:rFonts w:ascii="微软雅黑" w:eastAsia="微软雅黑" w:hAnsi="微软雅黑" w:hint="eastAsia"/>
        </w:rPr>
        <w:t>2、开通</w:t>
      </w:r>
      <w:r w:rsidR="0054382B" w:rsidRPr="00BA34C0">
        <w:rPr>
          <w:rFonts w:ascii="微软雅黑" w:eastAsia="微软雅黑" w:hAnsi="微软雅黑" w:hint="eastAsia"/>
        </w:rPr>
        <w:t>理财嘉APP</w:t>
      </w:r>
      <w:r w:rsidRPr="00BA34C0">
        <w:rPr>
          <w:rFonts w:ascii="微软雅黑" w:eastAsia="微软雅黑" w:hAnsi="微软雅黑" w:hint="eastAsia"/>
        </w:rPr>
        <w:t>交易</w:t>
      </w:r>
    </w:p>
    <w:p w:rsidR="00D56518" w:rsidRPr="00BA34C0" w:rsidRDefault="00CC109A" w:rsidP="00CC109A">
      <w:pPr>
        <w:spacing w:line="276" w:lineRule="auto"/>
        <w:ind w:firstLineChars="200" w:firstLine="420"/>
        <w:rPr>
          <w:rFonts w:ascii="微软雅黑" w:eastAsia="微软雅黑" w:hAnsi="微软雅黑"/>
          <w:noProof/>
        </w:rPr>
      </w:pPr>
      <w:r w:rsidRPr="00BA34C0">
        <w:rPr>
          <w:rFonts w:ascii="微软雅黑" w:eastAsia="微软雅黑" w:hAnsi="微软雅黑" w:hint="eastAsia"/>
        </w:rPr>
        <w:t>您可以</w:t>
      </w:r>
      <w:r w:rsidR="0054382B" w:rsidRPr="00BA34C0">
        <w:rPr>
          <w:rFonts w:ascii="微软雅黑" w:eastAsia="微软雅黑" w:hAnsi="微软雅黑" w:hint="eastAsia"/>
        </w:rPr>
        <w:t>下载理财嘉APP</w:t>
      </w:r>
      <w:r w:rsidRPr="00BA34C0">
        <w:rPr>
          <w:rFonts w:ascii="微软雅黑" w:eastAsia="微软雅黑" w:hAnsi="微软雅黑" w:hint="eastAsia"/>
        </w:rPr>
        <w:t>（</w:t>
      </w:r>
      <w:r w:rsidR="004718CA" w:rsidRPr="00BA34C0">
        <w:rPr>
          <w:rFonts w:ascii="微软雅黑" w:eastAsia="微软雅黑" w:hAnsi="微软雅黑" w:hint="eastAsia"/>
        </w:rPr>
        <w:t>扫描下方二维码，或</w:t>
      </w:r>
      <w:r w:rsidR="0054382B" w:rsidRPr="00BA34C0">
        <w:rPr>
          <w:rFonts w:ascii="微软雅黑" w:eastAsia="微软雅黑" w:hAnsi="微软雅黑" w:hint="eastAsia"/>
        </w:rPr>
        <w:t>各大市场</w:t>
      </w:r>
      <w:r w:rsidR="004718CA" w:rsidRPr="00BA34C0">
        <w:rPr>
          <w:rFonts w:ascii="微软雅黑" w:eastAsia="微软雅黑" w:hAnsi="微软雅黑" w:hint="eastAsia"/>
        </w:rPr>
        <w:t>搜索</w:t>
      </w:r>
      <w:r w:rsidRPr="00BA34C0">
        <w:rPr>
          <w:rFonts w:ascii="微软雅黑" w:eastAsia="微软雅黑" w:hAnsi="微软雅黑" w:hint="eastAsia"/>
        </w:rPr>
        <w:t>：</w:t>
      </w:r>
      <w:r w:rsidR="0054382B" w:rsidRPr="00BA34C0">
        <w:rPr>
          <w:rFonts w:ascii="微软雅黑" w:eastAsia="微软雅黑" w:hAnsi="微软雅黑" w:hint="eastAsia"/>
        </w:rPr>
        <w:t>嘉实理财嘉</w:t>
      </w:r>
      <w:r w:rsidRPr="00BA34C0">
        <w:rPr>
          <w:rFonts w:ascii="微软雅黑" w:eastAsia="微软雅黑" w:hAnsi="微软雅黑" w:hint="eastAsia"/>
        </w:rPr>
        <w:t>）</w:t>
      </w:r>
      <w:r w:rsidR="00D56518" w:rsidRPr="00BA34C0">
        <w:rPr>
          <w:rFonts w:ascii="微软雅黑" w:eastAsia="微软雅黑" w:hAnsi="微软雅黑" w:hint="eastAsia"/>
        </w:rPr>
        <w:t xml:space="preserve"> 。</w:t>
      </w:r>
    </w:p>
    <w:p w:rsidR="00D56518" w:rsidRPr="00BA34C0" w:rsidRDefault="00D56518" w:rsidP="00E165A8">
      <w:pPr>
        <w:spacing w:line="276" w:lineRule="auto"/>
        <w:ind w:firstLineChars="1050" w:firstLine="2205"/>
        <w:jc w:val="left"/>
        <w:rPr>
          <w:rFonts w:ascii="微软雅黑" w:eastAsia="微软雅黑" w:hAnsi="微软雅黑"/>
          <w:noProof/>
        </w:rPr>
      </w:pPr>
      <w:r w:rsidRPr="00BA34C0">
        <w:rPr>
          <w:rFonts w:ascii="微软雅黑" w:eastAsia="微软雅黑" w:hAnsi="微软雅黑"/>
          <w:noProof/>
        </w:rPr>
        <w:drawing>
          <wp:inline distT="0" distB="0" distL="0" distR="0">
            <wp:extent cx="1461732" cy="1461732"/>
            <wp:effectExtent l="19050" t="0" r="5118" b="0"/>
            <wp:docPr id="9" name="图片 22" descr="C:\Documents and Settings\dzswsx02\桌面\开户指南\理财嘉二维码-不带跟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swsx02\桌面\开户指南\理财嘉二维码-不带跟踪.png"/>
                    <pic:cNvPicPr>
                      <a:picLocks noChangeAspect="1" noChangeArrowheads="1"/>
                    </pic:cNvPicPr>
                  </pic:nvPicPr>
                  <pic:blipFill>
                    <a:blip r:embed="rId11"/>
                    <a:srcRect/>
                    <a:stretch>
                      <a:fillRect/>
                    </a:stretch>
                  </pic:blipFill>
                  <pic:spPr bwMode="auto">
                    <a:xfrm>
                      <a:off x="0" y="0"/>
                      <a:ext cx="1461805" cy="1461805"/>
                    </a:xfrm>
                    <a:prstGeom prst="rect">
                      <a:avLst/>
                    </a:prstGeom>
                    <a:noFill/>
                    <a:ln w="9525">
                      <a:noFill/>
                      <a:miter lim="800000"/>
                      <a:headEnd/>
                      <a:tailEnd/>
                    </a:ln>
                  </pic:spPr>
                </pic:pic>
              </a:graphicData>
            </a:graphic>
          </wp:inline>
        </w:drawing>
      </w:r>
    </w:p>
    <w:p w:rsidR="00CC109A" w:rsidRPr="00BA34C0" w:rsidRDefault="00CC109A" w:rsidP="00CC109A">
      <w:pPr>
        <w:spacing w:line="276" w:lineRule="auto"/>
        <w:ind w:firstLineChars="200" w:firstLine="420"/>
        <w:rPr>
          <w:rFonts w:ascii="微软雅黑" w:eastAsia="微软雅黑" w:hAnsi="微软雅黑"/>
        </w:rPr>
      </w:pPr>
      <w:r w:rsidRPr="00BA34C0">
        <w:rPr>
          <w:rFonts w:ascii="微软雅黑" w:eastAsia="微软雅黑" w:hAnsi="微软雅黑" w:hint="eastAsia"/>
        </w:rPr>
        <w:lastRenderedPageBreak/>
        <w:t>点击下方的“</w:t>
      </w:r>
      <w:r w:rsidR="00D56518" w:rsidRPr="00BA34C0">
        <w:rPr>
          <w:rFonts w:ascii="微软雅黑" w:eastAsia="微软雅黑" w:hAnsi="微软雅黑" w:hint="eastAsia"/>
        </w:rPr>
        <w:t>乐管家</w:t>
      </w:r>
      <w:r w:rsidRPr="00BA34C0">
        <w:rPr>
          <w:rFonts w:ascii="微软雅黑" w:eastAsia="微软雅黑" w:hAnsi="微软雅黑" w:hint="eastAsia"/>
        </w:rPr>
        <w:t>”，选择“</w:t>
      </w:r>
      <w:r w:rsidR="00D56518" w:rsidRPr="00BA34C0">
        <w:rPr>
          <w:rFonts w:ascii="微软雅黑" w:eastAsia="微软雅黑" w:hAnsi="微软雅黑" w:hint="eastAsia"/>
        </w:rPr>
        <w:t>我要注册</w:t>
      </w:r>
      <w:r w:rsidR="004718CA" w:rsidRPr="00BA34C0">
        <w:rPr>
          <w:rFonts w:ascii="微软雅黑" w:eastAsia="微软雅黑" w:hAnsi="微软雅黑" w:hint="eastAsia"/>
        </w:rPr>
        <w:t>”，根据提示完成开户操作（若您已是嘉实基金客户，请您</w:t>
      </w:r>
      <w:r w:rsidR="0054382B" w:rsidRPr="00BA34C0">
        <w:rPr>
          <w:rFonts w:ascii="微软雅黑" w:eastAsia="微软雅黑" w:hAnsi="微软雅黑" w:hint="eastAsia"/>
        </w:rPr>
        <w:t>直接登录</w:t>
      </w:r>
      <w:r w:rsidR="004718CA" w:rsidRPr="00BA34C0">
        <w:rPr>
          <w:rFonts w:ascii="微软雅黑" w:eastAsia="微软雅黑" w:hAnsi="微软雅黑" w:hint="eastAsia"/>
        </w:rPr>
        <w:t>）。</w:t>
      </w:r>
    </w:p>
    <w:p w:rsidR="00E165A8" w:rsidRPr="00BA34C0" w:rsidRDefault="00D56518" w:rsidP="00E165A8">
      <w:pPr>
        <w:spacing w:line="276" w:lineRule="auto"/>
        <w:ind w:firstLineChars="200" w:firstLine="420"/>
        <w:jc w:val="center"/>
        <w:rPr>
          <w:noProof/>
        </w:rPr>
      </w:pPr>
      <w:r w:rsidRPr="00BA34C0">
        <w:rPr>
          <w:rFonts w:ascii="微软雅黑" w:eastAsia="微软雅黑" w:hAnsi="微软雅黑"/>
          <w:noProof/>
        </w:rPr>
        <w:drawing>
          <wp:inline distT="0" distB="0" distL="0" distR="0">
            <wp:extent cx="4295775" cy="3162300"/>
            <wp:effectExtent l="0" t="0" r="0" b="0"/>
            <wp:docPr id="12"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80584"/>
                      <a:chOff x="457200" y="304800"/>
                      <a:chExt cx="8229600" cy="6580584"/>
                    </a:xfrm>
                  </a:grpSpPr>
                  <a:sp>
                    <a:nvSpPr>
                      <a:cNvPr id="2" name="标题 1"/>
                      <a:cNvSpPr>
                        <a:spLocks noGrp="1"/>
                      </a:cNvSpPr>
                    </a:nvSpPr>
                    <a:spPr bwMode="auto">
                      <a:xfrm>
                        <a:off x="457200" y="304800"/>
                        <a:ext cx="8229600" cy="6096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l" rtl="0" eaLnBrk="1" fontAlgn="base" hangingPunct="1">
                            <a:spcBef>
                              <a:spcPct val="0"/>
                            </a:spcBef>
                            <a:spcAft>
                              <a:spcPct val="0"/>
                            </a:spcAft>
                            <a:defRPr sz="3200" kern="1200">
                              <a:solidFill>
                                <a:schemeClr val="tx1"/>
                              </a:solidFill>
                              <a:latin typeface="微软雅黑" pitchFamily="34" charset="-122"/>
                              <a:ea typeface="微软雅黑" pitchFamily="34" charset="-122"/>
                              <a:cs typeface="Arial" pitchFamily="34" charset="0"/>
                            </a:defRPr>
                          </a:lvl1pPr>
                          <a:lvl2pPr algn="l" rtl="0" eaLnBrk="1" fontAlgn="base" hangingPunct="1">
                            <a:spcBef>
                              <a:spcPct val="0"/>
                            </a:spcBef>
                            <a:spcAft>
                              <a:spcPct val="0"/>
                            </a:spcAft>
                            <a:defRPr sz="3200">
                              <a:solidFill>
                                <a:schemeClr val="tx1"/>
                              </a:solidFill>
                              <a:latin typeface="Calibri" pitchFamily="34" charset="0"/>
                              <a:ea typeface="微软雅黑" pitchFamily="34" charset="-122"/>
                              <a:cs typeface="Arial" charset="0"/>
                            </a:defRPr>
                          </a:lvl2pPr>
                          <a:lvl3pPr algn="l" rtl="0" eaLnBrk="1" fontAlgn="base" hangingPunct="1">
                            <a:spcBef>
                              <a:spcPct val="0"/>
                            </a:spcBef>
                            <a:spcAft>
                              <a:spcPct val="0"/>
                            </a:spcAft>
                            <a:defRPr sz="3200">
                              <a:solidFill>
                                <a:schemeClr val="tx1"/>
                              </a:solidFill>
                              <a:latin typeface="Calibri" pitchFamily="34" charset="0"/>
                              <a:ea typeface="微软雅黑" pitchFamily="34" charset="-122"/>
                              <a:cs typeface="Arial" charset="0"/>
                            </a:defRPr>
                          </a:lvl3pPr>
                          <a:lvl4pPr algn="l" rtl="0" eaLnBrk="1" fontAlgn="base" hangingPunct="1">
                            <a:spcBef>
                              <a:spcPct val="0"/>
                            </a:spcBef>
                            <a:spcAft>
                              <a:spcPct val="0"/>
                            </a:spcAft>
                            <a:defRPr sz="3200">
                              <a:solidFill>
                                <a:schemeClr val="tx1"/>
                              </a:solidFill>
                              <a:latin typeface="Calibri" pitchFamily="34" charset="0"/>
                              <a:ea typeface="微软雅黑" pitchFamily="34" charset="-122"/>
                              <a:cs typeface="Arial" charset="0"/>
                            </a:defRPr>
                          </a:lvl4pPr>
                          <a:lvl5pPr algn="l" rtl="0" eaLnBrk="1" fontAlgn="base" hangingPunct="1">
                            <a:spcBef>
                              <a:spcPct val="0"/>
                            </a:spcBef>
                            <a:spcAft>
                              <a:spcPct val="0"/>
                            </a:spcAft>
                            <a:defRPr sz="3200">
                              <a:solidFill>
                                <a:schemeClr val="tx1"/>
                              </a:solidFill>
                              <a:latin typeface="Calibri" pitchFamily="34" charset="0"/>
                              <a:ea typeface="微软雅黑" pitchFamily="34" charset="-122"/>
                              <a:cs typeface="Arial" charset="0"/>
                            </a:defRPr>
                          </a:lvl5pPr>
                          <a:lvl6pPr marL="457200" algn="l" rtl="0" eaLnBrk="1" fontAlgn="base" hangingPunct="1">
                            <a:spcBef>
                              <a:spcPct val="0"/>
                            </a:spcBef>
                            <a:spcAft>
                              <a:spcPct val="0"/>
                            </a:spcAft>
                            <a:defRPr sz="3200" b="1">
                              <a:solidFill>
                                <a:schemeClr val="tx1"/>
                              </a:solidFill>
                              <a:latin typeface="Calibri" pitchFamily="34" charset="0"/>
                              <a:cs typeface="Arial" charset="0"/>
                            </a:defRPr>
                          </a:lvl6pPr>
                          <a:lvl7pPr marL="914400" algn="l" rtl="0" eaLnBrk="1" fontAlgn="base" hangingPunct="1">
                            <a:spcBef>
                              <a:spcPct val="0"/>
                            </a:spcBef>
                            <a:spcAft>
                              <a:spcPct val="0"/>
                            </a:spcAft>
                            <a:defRPr sz="3200" b="1">
                              <a:solidFill>
                                <a:schemeClr val="tx1"/>
                              </a:solidFill>
                              <a:latin typeface="Calibri" pitchFamily="34" charset="0"/>
                              <a:cs typeface="Arial" charset="0"/>
                            </a:defRPr>
                          </a:lvl7pPr>
                          <a:lvl8pPr marL="1371600" algn="l" rtl="0" eaLnBrk="1" fontAlgn="base" hangingPunct="1">
                            <a:spcBef>
                              <a:spcPct val="0"/>
                            </a:spcBef>
                            <a:spcAft>
                              <a:spcPct val="0"/>
                            </a:spcAft>
                            <a:defRPr sz="3200" b="1">
                              <a:solidFill>
                                <a:schemeClr val="tx1"/>
                              </a:solidFill>
                              <a:latin typeface="Calibri" pitchFamily="34" charset="0"/>
                              <a:cs typeface="Arial" charset="0"/>
                            </a:defRPr>
                          </a:lvl8pPr>
                          <a:lvl9pPr marL="1828800" algn="l" rtl="0" eaLnBrk="1" fontAlgn="base" hangingPunct="1">
                            <a:spcBef>
                              <a:spcPct val="0"/>
                            </a:spcBef>
                            <a:spcAft>
                              <a:spcPct val="0"/>
                            </a:spcAft>
                            <a:defRPr sz="3200" b="1">
                              <a:solidFill>
                                <a:schemeClr val="tx1"/>
                              </a:solidFill>
                              <a:latin typeface="Calibri" pitchFamily="34" charset="0"/>
                              <a:cs typeface="Arial" charset="0"/>
                            </a:defRPr>
                          </a:lvl9pPr>
                        </a:lstStyle>
                        <a:p>
                          <a:r>
                            <a:rPr lang="zh-CN" altLang="en-US" dirty="0" smtClean="0"/>
                            <a:t>注册开户</a:t>
                          </a:r>
                          <a:endParaRPr lang="zh-CN" altLang="en-US" dirty="0"/>
                        </a:p>
                      </a:txBody>
                      <a:useSpRect/>
                    </a:txSp>
                  </a:sp>
                  <a:pic>
                    <a:nvPicPr>
                      <a:cNvPr id="4" name="图片 3" descr="视频8 手机号.png"/>
                      <a:cNvPicPr>
                        <a:picLocks noChangeAspect="1"/>
                      </a:cNvPicPr>
                    </a:nvPicPr>
                    <a:blipFill>
                      <a:blip r:embed="rId12"/>
                      <a:stretch>
                        <a:fillRect/>
                      </a:stretch>
                    </a:blipFill>
                    <a:spPr>
                      <a:xfrm>
                        <a:off x="1327830" y="973874"/>
                        <a:ext cx="3330428" cy="5911510"/>
                      </a:xfrm>
                      <a:prstGeom prst="rect">
                        <a:avLst/>
                      </a:prstGeom>
                    </a:spPr>
                  </a:pic>
                  <a:sp>
                    <a:nvSpPr>
                      <a:cNvPr id="7" name="圆角矩形标注 6"/>
                      <a:cNvSpPr/>
                    </a:nvSpPr>
                    <a:spPr>
                      <a:xfrm>
                        <a:off x="5234322" y="1340768"/>
                        <a:ext cx="1785950" cy="1071570"/>
                      </a:xfrm>
                      <a:prstGeom prst="wedgeRoundRectCallout">
                        <a:avLst>
                          <a:gd name="adj1" fmla="val -76197"/>
                          <a:gd name="adj2" fmla="val 22750"/>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请填写您的常用手机号</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a:sp>
                    <a:nvSpPr>
                      <a:cNvPr id="8" name="圆角矩形标注 7"/>
                      <a:cNvSpPr/>
                    </a:nvSpPr>
                    <a:spPr>
                      <a:xfrm>
                        <a:off x="5234322" y="2708920"/>
                        <a:ext cx="1785950" cy="1071570"/>
                      </a:xfrm>
                      <a:prstGeom prst="wedgeRoundRectCallout">
                        <a:avLst>
                          <a:gd name="adj1" fmla="val -76197"/>
                          <a:gd name="adj2" fmla="val 22750"/>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请填写收到的验证码，安卓机可自动填写</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r w:rsidRPr="00BA34C0">
        <w:rPr>
          <w:rFonts w:ascii="微软雅黑" w:eastAsia="微软雅黑" w:hAnsi="微软雅黑"/>
          <w:noProof/>
        </w:rPr>
        <w:drawing>
          <wp:inline distT="0" distB="0" distL="0" distR="0">
            <wp:extent cx="3343275" cy="3257550"/>
            <wp:effectExtent l="19050" t="0" r="0" b="0"/>
            <wp:docPr id="14" name="对象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6390" cy="5884126"/>
                      <a:chOff x="1345890" y="973874"/>
                      <a:chExt cx="5746390" cy="5884126"/>
                    </a:xfrm>
                  </a:grpSpPr>
                  <a:pic>
                    <a:nvPicPr>
                      <a:cNvPr id="5" name="图片 4" descr="视频10 姓名.png"/>
                      <a:cNvPicPr>
                        <a:picLocks noChangeAspect="1"/>
                      </a:cNvPicPr>
                    </a:nvPicPr>
                    <a:blipFill>
                      <a:blip r:embed="rId13"/>
                      <a:stretch>
                        <a:fillRect/>
                      </a:stretch>
                    </a:blipFill>
                    <a:spPr>
                      <a:xfrm>
                        <a:off x="1345890" y="973874"/>
                        <a:ext cx="3315001" cy="5884126"/>
                      </a:xfrm>
                      <a:prstGeom prst="rect">
                        <a:avLst/>
                      </a:prstGeom>
                    </a:spPr>
                  </a:pic>
                  <a:sp>
                    <a:nvSpPr>
                      <a:cNvPr id="6" name="圆角矩形标注 5"/>
                      <a:cNvSpPr/>
                    </a:nvSpPr>
                    <a:spPr>
                      <a:xfrm>
                        <a:off x="5306330" y="1484784"/>
                        <a:ext cx="1785950" cy="1071570"/>
                      </a:xfrm>
                      <a:prstGeom prst="wedgeRoundRectCallout">
                        <a:avLst>
                          <a:gd name="adj1" fmla="val -76197"/>
                          <a:gd name="adj2" fmla="val 22750"/>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请填写您的身份信息</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a:sp>
                    <a:nvSpPr>
                      <a:cNvPr id="7" name="圆角矩形标注 6"/>
                      <a:cNvSpPr/>
                    </a:nvSpPr>
                    <a:spPr>
                      <a:xfrm>
                        <a:off x="5306330" y="3221526"/>
                        <a:ext cx="1785950" cy="1071570"/>
                      </a:xfrm>
                      <a:prstGeom prst="wedgeRoundRectCallout">
                        <a:avLst>
                          <a:gd name="adj1" fmla="val -76197"/>
                          <a:gd name="adj2" fmla="val 22750"/>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请填写密码，登录和交易密码是同一个</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E165A8" w:rsidRPr="00BA34C0" w:rsidRDefault="00E165A8" w:rsidP="00E165A8">
      <w:pPr>
        <w:spacing w:line="276" w:lineRule="auto"/>
        <w:jc w:val="center"/>
        <w:rPr>
          <w:noProof/>
        </w:rPr>
      </w:pPr>
      <w:r w:rsidRPr="00BA34C0">
        <w:rPr>
          <w:noProof/>
        </w:rPr>
        <w:lastRenderedPageBreak/>
        <w:drawing>
          <wp:inline distT="0" distB="0" distL="0" distR="0">
            <wp:extent cx="3343275" cy="3257550"/>
            <wp:effectExtent l="19050" t="0" r="0" b="0"/>
            <wp:docPr id="20"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9619" cy="5877272"/>
                      <a:chOff x="1342661" y="980728"/>
                      <a:chExt cx="5749619" cy="5877272"/>
                    </a:xfrm>
                  </a:grpSpPr>
                  <a:pic>
                    <a:nvPicPr>
                      <a:cNvPr id="3" name="图片 2" descr="视频14a 银行卡.png"/>
                      <a:cNvPicPr>
                        <a:picLocks noChangeAspect="1"/>
                      </a:cNvPicPr>
                    </a:nvPicPr>
                    <a:blipFill>
                      <a:blip r:embed="rId14"/>
                      <a:stretch>
                        <a:fillRect/>
                      </a:stretch>
                    </a:blipFill>
                    <a:spPr>
                      <a:xfrm>
                        <a:off x="1342661" y="980728"/>
                        <a:ext cx="3311139" cy="5877272"/>
                      </a:xfrm>
                      <a:prstGeom prst="rect">
                        <a:avLst/>
                      </a:prstGeom>
                    </a:spPr>
                  </a:pic>
                  <a:sp>
                    <a:nvSpPr>
                      <a:cNvPr id="4" name="圆角矩形标注 3"/>
                      <a:cNvSpPr/>
                    </a:nvSpPr>
                    <a:spPr>
                      <a:xfrm>
                        <a:off x="5199173" y="1340768"/>
                        <a:ext cx="1785950" cy="1071570"/>
                      </a:xfrm>
                      <a:prstGeom prst="wedgeRoundRectCallout">
                        <a:avLst>
                          <a:gd name="adj1" fmla="val -76197"/>
                          <a:gd name="adj2" fmla="val 22750"/>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请填写借记卡卡号，使用纯储蓄卡开户，并选择开户银行。</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a:sp>
                    <a:nvSpPr>
                      <a:cNvPr id="5" name="圆角矩形标注 4"/>
                      <a:cNvSpPr/>
                    </a:nvSpPr>
                    <a:spPr>
                      <a:xfrm>
                        <a:off x="5092016" y="3645024"/>
                        <a:ext cx="2000264" cy="1000132"/>
                      </a:xfrm>
                      <a:prstGeom prst="wedgeRoundRectCallout">
                        <a:avLst>
                          <a:gd name="adj1" fmla="val -72088"/>
                          <a:gd name="adj2" fmla="val 7634"/>
                          <a:gd name="adj3" fmla="val 16667"/>
                        </a:avLst>
                      </a:prstGeom>
                    </a:spPr>
                    <a:txSp>
                      <a:txBody>
                        <a:bodyPr rtlCol="0" anchor="ctr"/>
                        <a:lstStyle>
                          <a:defPPr>
                            <a:defRPr lang="zh-C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zh-CN" altLang="en-US" sz="1600" b="1" dirty="0" smtClean="0">
                              <a:solidFill>
                                <a:srgbClr val="FF0000"/>
                              </a:solidFill>
                              <a:latin typeface="微软雅黑" pitchFamily="34" charset="-122"/>
                              <a:ea typeface="微软雅黑" pitchFamily="34" charset="-122"/>
                            </a:rPr>
                            <a:t>请填写您的手机号码与在银行预留的号码保持一致。</a:t>
                          </a:r>
                          <a:endParaRPr lang="zh-CN" altLang="en-US" sz="1600" b="1" dirty="0">
                            <a:solidFill>
                              <a:srgbClr val="FF0000"/>
                            </a:solidFill>
                            <a:latin typeface="微软雅黑" pitchFamily="34" charset="-122"/>
                            <a:ea typeface="微软雅黑" pitchFamily="34" charset="-122"/>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CE2B88" w:rsidRPr="00BF32E1" w:rsidRDefault="00DB4573" w:rsidP="00E165A8">
      <w:pPr>
        <w:spacing w:line="276" w:lineRule="auto"/>
        <w:ind w:firstLineChars="900" w:firstLine="1890"/>
        <w:jc w:val="left"/>
        <w:rPr>
          <w:rFonts w:ascii="微软雅黑" w:eastAsia="微软雅黑" w:hAnsi="微软雅黑"/>
        </w:rPr>
      </w:pPr>
      <w:bookmarkStart w:id="0" w:name="_GoBack"/>
      <w:bookmarkEnd w:id="0"/>
      <w:r>
        <w:rPr>
          <w:rFonts w:ascii="微软雅黑" w:eastAsia="微软雅黑" w:hAnsi="微软雅黑"/>
          <w:noProof/>
        </w:rPr>
        <w:pict>
          <v:oval id="_x0000_s1029" style="position:absolute;left:0;text-align:left;margin-left:109.7pt;margin-top:145.8pt;width:130.65pt;height:35.05pt;z-index:251660288" strokecolor="red" strokeweight="1.5pt">
            <v:fill opacity="0"/>
          </v:oval>
        </w:pict>
      </w:r>
      <w:r w:rsidR="00D56518" w:rsidRPr="00BA34C0">
        <w:rPr>
          <w:rFonts w:ascii="微软雅黑" w:eastAsia="微软雅黑" w:hAnsi="微软雅黑"/>
          <w:noProof/>
        </w:rPr>
        <w:drawing>
          <wp:inline distT="0" distB="0" distL="0" distR="0">
            <wp:extent cx="2009775" cy="3400425"/>
            <wp:effectExtent l="19050" t="0" r="9525" b="0"/>
            <wp:docPr id="18" name="图片 7" descr="视频14c 银行卡.png"/>
            <wp:cNvGraphicFramePr/>
            <a:graphic xmlns:a="http://schemas.openxmlformats.org/drawingml/2006/main">
              <a:graphicData uri="http://schemas.openxmlformats.org/drawingml/2006/picture">
                <pic:pic xmlns:pic="http://schemas.openxmlformats.org/drawingml/2006/picture">
                  <pic:nvPicPr>
                    <pic:cNvPr id="6" name="图片 5" descr="视频14c 银行卡.png"/>
                    <pic:cNvPicPr>
                      <a:picLocks noChangeAspect="1"/>
                    </pic:cNvPicPr>
                  </pic:nvPicPr>
                  <pic:blipFill>
                    <a:blip r:embed="rId15" cstate="print"/>
                    <a:stretch>
                      <a:fillRect/>
                    </a:stretch>
                  </pic:blipFill>
                  <pic:spPr>
                    <a:xfrm>
                      <a:off x="0" y="0"/>
                      <a:ext cx="2010641" cy="3401890"/>
                    </a:xfrm>
                    <a:prstGeom prst="rect">
                      <a:avLst/>
                    </a:prstGeom>
                  </pic:spPr>
                </pic:pic>
              </a:graphicData>
            </a:graphic>
          </wp:inline>
        </w:drawing>
      </w:r>
    </w:p>
    <w:sectPr w:rsidR="00CE2B88" w:rsidRPr="00BF32E1" w:rsidSect="00F02F61">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5D8" w:rsidRDefault="008825D8" w:rsidP="00523894">
      <w:r>
        <w:separator/>
      </w:r>
    </w:p>
  </w:endnote>
  <w:endnote w:type="continuationSeparator" w:id="1">
    <w:p w:rsidR="008825D8" w:rsidRDefault="008825D8" w:rsidP="005238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5D8" w:rsidRDefault="008825D8" w:rsidP="00523894">
      <w:r>
        <w:separator/>
      </w:r>
    </w:p>
  </w:footnote>
  <w:footnote w:type="continuationSeparator" w:id="1">
    <w:p w:rsidR="008825D8" w:rsidRDefault="008825D8" w:rsidP="005238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74A9"/>
    <w:rsid w:val="00033B42"/>
    <w:rsid w:val="0006346E"/>
    <w:rsid w:val="0006566D"/>
    <w:rsid w:val="000772D8"/>
    <w:rsid w:val="00083995"/>
    <w:rsid w:val="000941AD"/>
    <w:rsid w:val="00105CDE"/>
    <w:rsid w:val="0011565C"/>
    <w:rsid w:val="001158AE"/>
    <w:rsid w:val="0014603F"/>
    <w:rsid w:val="001B6950"/>
    <w:rsid w:val="001F609D"/>
    <w:rsid w:val="002112CA"/>
    <w:rsid w:val="00216C7E"/>
    <w:rsid w:val="00226EFF"/>
    <w:rsid w:val="00252131"/>
    <w:rsid w:val="00286EAC"/>
    <w:rsid w:val="002C1F29"/>
    <w:rsid w:val="002C363E"/>
    <w:rsid w:val="002C7A62"/>
    <w:rsid w:val="003131B9"/>
    <w:rsid w:val="003278CB"/>
    <w:rsid w:val="003447AD"/>
    <w:rsid w:val="0037115C"/>
    <w:rsid w:val="00372636"/>
    <w:rsid w:val="00391F5F"/>
    <w:rsid w:val="003B20A4"/>
    <w:rsid w:val="003C0499"/>
    <w:rsid w:val="003D3832"/>
    <w:rsid w:val="003D3918"/>
    <w:rsid w:val="003D58E0"/>
    <w:rsid w:val="003D73B4"/>
    <w:rsid w:val="0043606B"/>
    <w:rsid w:val="004611C0"/>
    <w:rsid w:val="004718CA"/>
    <w:rsid w:val="00493DB1"/>
    <w:rsid w:val="004A63D0"/>
    <w:rsid w:val="004C5940"/>
    <w:rsid w:val="004D01B0"/>
    <w:rsid w:val="004D2EC0"/>
    <w:rsid w:val="004E1CB6"/>
    <w:rsid w:val="004F4BEB"/>
    <w:rsid w:val="005017A5"/>
    <w:rsid w:val="00502257"/>
    <w:rsid w:val="00521604"/>
    <w:rsid w:val="00523894"/>
    <w:rsid w:val="0054382B"/>
    <w:rsid w:val="00563171"/>
    <w:rsid w:val="005D509E"/>
    <w:rsid w:val="005D61A0"/>
    <w:rsid w:val="006029FC"/>
    <w:rsid w:val="00620ED8"/>
    <w:rsid w:val="00650E44"/>
    <w:rsid w:val="00696BB3"/>
    <w:rsid w:val="006B32DB"/>
    <w:rsid w:val="006B49D2"/>
    <w:rsid w:val="006C0CB8"/>
    <w:rsid w:val="006C3CB4"/>
    <w:rsid w:val="00705E2F"/>
    <w:rsid w:val="007A5C47"/>
    <w:rsid w:val="007A6918"/>
    <w:rsid w:val="007B7F5E"/>
    <w:rsid w:val="007C3E8A"/>
    <w:rsid w:val="007D4C93"/>
    <w:rsid w:val="007D617D"/>
    <w:rsid w:val="007F1FA5"/>
    <w:rsid w:val="007F393F"/>
    <w:rsid w:val="007F39D5"/>
    <w:rsid w:val="007F4E0E"/>
    <w:rsid w:val="007F68DF"/>
    <w:rsid w:val="007F77A0"/>
    <w:rsid w:val="008243AA"/>
    <w:rsid w:val="0084621E"/>
    <w:rsid w:val="00870ABB"/>
    <w:rsid w:val="008825D8"/>
    <w:rsid w:val="00896693"/>
    <w:rsid w:val="008A080A"/>
    <w:rsid w:val="008A4980"/>
    <w:rsid w:val="008D460E"/>
    <w:rsid w:val="0090056C"/>
    <w:rsid w:val="009453AA"/>
    <w:rsid w:val="0096095D"/>
    <w:rsid w:val="009F4FFB"/>
    <w:rsid w:val="00A33195"/>
    <w:rsid w:val="00A41381"/>
    <w:rsid w:val="00AA5B6A"/>
    <w:rsid w:val="00AC29A2"/>
    <w:rsid w:val="00AC74A9"/>
    <w:rsid w:val="00AD36C8"/>
    <w:rsid w:val="00AD7C42"/>
    <w:rsid w:val="00AE16A4"/>
    <w:rsid w:val="00B05160"/>
    <w:rsid w:val="00B067FD"/>
    <w:rsid w:val="00B1267B"/>
    <w:rsid w:val="00B20378"/>
    <w:rsid w:val="00B85EFE"/>
    <w:rsid w:val="00BA34C0"/>
    <w:rsid w:val="00BF32E1"/>
    <w:rsid w:val="00C44749"/>
    <w:rsid w:val="00C57112"/>
    <w:rsid w:val="00C70431"/>
    <w:rsid w:val="00C8182D"/>
    <w:rsid w:val="00CC109A"/>
    <w:rsid w:val="00CE2B88"/>
    <w:rsid w:val="00CE5D3B"/>
    <w:rsid w:val="00D22C56"/>
    <w:rsid w:val="00D51474"/>
    <w:rsid w:val="00D56518"/>
    <w:rsid w:val="00D837F4"/>
    <w:rsid w:val="00DA3757"/>
    <w:rsid w:val="00DB4573"/>
    <w:rsid w:val="00DC3B56"/>
    <w:rsid w:val="00DC7CFE"/>
    <w:rsid w:val="00DD13F8"/>
    <w:rsid w:val="00DF5C97"/>
    <w:rsid w:val="00E165A8"/>
    <w:rsid w:val="00E2678A"/>
    <w:rsid w:val="00E80DD7"/>
    <w:rsid w:val="00E9583E"/>
    <w:rsid w:val="00EA4D2A"/>
    <w:rsid w:val="00EE27CC"/>
    <w:rsid w:val="00F02F61"/>
    <w:rsid w:val="00F61EB4"/>
    <w:rsid w:val="00F73E20"/>
    <w:rsid w:val="00F936C2"/>
    <w:rsid w:val="00F93D36"/>
    <w:rsid w:val="00F95B12"/>
    <w:rsid w:val="00FA1309"/>
    <w:rsid w:val="00FB4B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1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606B"/>
    <w:rPr>
      <w:color w:val="0000FF" w:themeColor="hyperlink"/>
      <w:u w:val="single"/>
    </w:rPr>
  </w:style>
  <w:style w:type="paragraph" w:styleId="a4">
    <w:name w:val="List Paragraph"/>
    <w:basedOn w:val="a"/>
    <w:uiPriority w:val="34"/>
    <w:qFormat/>
    <w:rsid w:val="0043606B"/>
    <w:pPr>
      <w:ind w:firstLineChars="200" w:firstLine="420"/>
    </w:pPr>
  </w:style>
  <w:style w:type="paragraph" w:styleId="a5">
    <w:name w:val="Balloon Text"/>
    <w:basedOn w:val="a"/>
    <w:link w:val="Char"/>
    <w:uiPriority w:val="99"/>
    <w:semiHidden/>
    <w:unhideWhenUsed/>
    <w:rsid w:val="0043606B"/>
    <w:rPr>
      <w:sz w:val="18"/>
      <w:szCs w:val="18"/>
    </w:rPr>
  </w:style>
  <w:style w:type="character" w:customStyle="1" w:styleId="Char">
    <w:name w:val="批注框文本 Char"/>
    <w:basedOn w:val="a0"/>
    <w:link w:val="a5"/>
    <w:uiPriority w:val="99"/>
    <w:semiHidden/>
    <w:rsid w:val="0043606B"/>
    <w:rPr>
      <w:sz w:val="18"/>
      <w:szCs w:val="18"/>
    </w:rPr>
  </w:style>
  <w:style w:type="paragraph" w:styleId="a6">
    <w:name w:val="header"/>
    <w:basedOn w:val="a"/>
    <w:link w:val="Char0"/>
    <w:uiPriority w:val="99"/>
    <w:unhideWhenUsed/>
    <w:rsid w:val="005238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23894"/>
    <w:rPr>
      <w:sz w:val="18"/>
      <w:szCs w:val="18"/>
    </w:rPr>
  </w:style>
  <w:style w:type="paragraph" w:styleId="a7">
    <w:name w:val="footer"/>
    <w:basedOn w:val="a"/>
    <w:link w:val="Char1"/>
    <w:uiPriority w:val="99"/>
    <w:unhideWhenUsed/>
    <w:rsid w:val="00523894"/>
    <w:pPr>
      <w:tabs>
        <w:tab w:val="center" w:pos="4153"/>
        <w:tab w:val="right" w:pos="8306"/>
      </w:tabs>
      <w:snapToGrid w:val="0"/>
      <w:jc w:val="left"/>
    </w:pPr>
    <w:rPr>
      <w:sz w:val="18"/>
      <w:szCs w:val="18"/>
    </w:rPr>
  </w:style>
  <w:style w:type="character" w:customStyle="1" w:styleId="Char1">
    <w:name w:val="页脚 Char"/>
    <w:basedOn w:val="a0"/>
    <w:link w:val="a7"/>
    <w:uiPriority w:val="99"/>
    <w:rsid w:val="00523894"/>
    <w:rPr>
      <w:sz w:val="18"/>
      <w:szCs w:val="18"/>
    </w:rPr>
  </w:style>
  <w:style w:type="character" w:styleId="a8">
    <w:name w:val="annotation reference"/>
    <w:basedOn w:val="a0"/>
    <w:uiPriority w:val="99"/>
    <w:semiHidden/>
    <w:unhideWhenUsed/>
    <w:rsid w:val="002C1F29"/>
    <w:rPr>
      <w:sz w:val="21"/>
      <w:szCs w:val="21"/>
    </w:rPr>
  </w:style>
  <w:style w:type="paragraph" w:styleId="a9">
    <w:name w:val="annotation text"/>
    <w:basedOn w:val="a"/>
    <w:link w:val="Char2"/>
    <w:uiPriority w:val="99"/>
    <w:unhideWhenUsed/>
    <w:rsid w:val="002C1F29"/>
    <w:pPr>
      <w:jc w:val="left"/>
    </w:pPr>
  </w:style>
  <w:style w:type="character" w:customStyle="1" w:styleId="Char2">
    <w:name w:val="批注文字 Char"/>
    <w:basedOn w:val="a0"/>
    <w:link w:val="a9"/>
    <w:uiPriority w:val="99"/>
    <w:rsid w:val="002C1F29"/>
  </w:style>
  <w:style w:type="paragraph" w:styleId="aa">
    <w:name w:val="annotation subject"/>
    <w:basedOn w:val="a9"/>
    <w:next w:val="a9"/>
    <w:link w:val="Char3"/>
    <w:uiPriority w:val="99"/>
    <w:semiHidden/>
    <w:unhideWhenUsed/>
    <w:rsid w:val="002C1F29"/>
    <w:rPr>
      <w:b/>
      <w:bCs/>
    </w:rPr>
  </w:style>
  <w:style w:type="character" w:customStyle="1" w:styleId="Char3">
    <w:name w:val="批注主题 Char"/>
    <w:basedOn w:val="Char2"/>
    <w:link w:val="aa"/>
    <w:uiPriority w:val="99"/>
    <w:semiHidden/>
    <w:rsid w:val="002C1F29"/>
    <w:rPr>
      <w:b/>
      <w:bCs/>
    </w:rPr>
  </w:style>
  <w:style w:type="paragraph" w:styleId="ab">
    <w:name w:val="Revision"/>
    <w:hidden/>
    <w:uiPriority w:val="99"/>
    <w:semiHidden/>
    <w:rsid w:val="00696BB3"/>
  </w:style>
  <w:style w:type="character" w:styleId="ac">
    <w:name w:val="FollowedHyperlink"/>
    <w:basedOn w:val="a0"/>
    <w:uiPriority w:val="99"/>
    <w:semiHidden/>
    <w:unhideWhenUsed/>
    <w:rsid w:val="00D514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606B"/>
    <w:rPr>
      <w:color w:val="0000FF" w:themeColor="hyperlink"/>
      <w:u w:val="single"/>
    </w:rPr>
  </w:style>
  <w:style w:type="paragraph" w:styleId="a4">
    <w:name w:val="List Paragraph"/>
    <w:basedOn w:val="a"/>
    <w:uiPriority w:val="34"/>
    <w:qFormat/>
    <w:rsid w:val="0043606B"/>
    <w:pPr>
      <w:ind w:firstLineChars="200" w:firstLine="420"/>
    </w:pPr>
  </w:style>
  <w:style w:type="paragraph" w:styleId="a5">
    <w:name w:val="Balloon Text"/>
    <w:basedOn w:val="a"/>
    <w:link w:val="Char"/>
    <w:uiPriority w:val="99"/>
    <w:semiHidden/>
    <w:unhideWhenUsed/>
    <w:rsid w:val="0043606B"/>
    <w:rPr>
      <w:sz w:val="18"/>
      <w:szCs w:val="18"/>
    </w:rPr>
  </w:style>
  <w:style w:type="character" w:customStyle="1" w:styleId="Char">
    <w:name w:val="批注框文本 Char"/>
    <w:basedOn w:val="a0"/>
    <w:link w:val="a5"/>
    <w:uiPriority w:val="99"/>
    <w:semiHidden/>
    <w:rsid w:val="0043606B"/>
    <w:rPr>
      <w:sz w:val="18"/>
      <w:szCs w:val="18"/>
    </w:rPr>
  </w:style>
  <w:style w:type="paragraph" w:styleId="a6">
    <w:name w:val="header"/>
    <w:basedOn w:val="a"/>
    <w:link w:val="Char0"/>
    <w:uiPriority w:val="99"/>
    <w:unhideWhenUsed/>
    <w:rsid w:val="005238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23894"/>
    <w:rPr>
      <w:sz w:val="18"/>
      <w:szCs w:val="18"/>
    </w:rPr>
  </w:style>
  <w:style w:type="paragraph" w:styleId="a7">
    <w:name w:val="footer"/>
    <w:basedOn w:val="a"/>
    <w:link w:val="Char1"/>
    <w:uiPriority w:val="99"/>
    <w:unhideWhenUsed/>
    <w:rsid w:val="00523894"/>
    <w:pPr>
      <w:tabs>
        <w:tab w:val="center" w:pos="4153"/>
        <w:tab w:val="right" w:pos="8306"/>
      </w:tabs>
      <w:snapToGrid w:val="0"/>
      <w:jc w:val="left"/>
    </w:pPr>
    <w:rPr>
      <w:sz w:val="18"/>
      <w:szCs w:val="18"/>
    </w:rPr>
  </w:style>
  <w:style w:type="character" w:customStyle="1" w:styleId="Char1">
    <w:name w:val="页脚 Char"/>
    <w:basedOn w:val="a0"/>
    <w:link w:val="a7"/>
    <w:uiPriority w:val="99"/>
    <w:rsid w:val="00523894"/>
    <w:rPr>
      <w:sz w:val="18"/>
      <w:szCs w:val="18"/>
    </w:rPr>
  </w:style>
  <w:style w:type="character" w:styleId="a8">
    <w:name w:val="annotation reference"/>
    <w:basedOn w:val="a0"/>
    <w:uiPriority w:val="99"/>
    <w:semiHidden/>
    <w:unhideWhenUsed/>
    <w:rsid w:val="002C1F29"/>
    <w:rPr>
      <w:sz w:val="21"/>
      <w:szCs w:val="21"/>
    </w:rPr>
  </w:style>
  <w:style w:type="paragraph" w:styleId="a9">
    <w:name w:val="annotation text"/>
    <w:basedOn w:val="a"/>
    <w:link w:val="Char2"/>
    <w:uiPriority w:val="99"/>
    <w:unhideWhenUsed/>
    <w:rsid w:val="002C1F29"/>
    <w:pPr>
      <w:jc w:val="left"/>
    </w:pPr>
  </w:style>
  <w:style w:type="character" w:customStyle="1" w:styleId="Char2">
    <w:name w:val="批注文字 Char"/>
    <w:basedOn w:val="a0"/>
    <w:link w:val="a9"/>
    <w:uiPriority w:val="99"/>
    <w:rsid w:val="002C1F29"/>
  </w:style>
  <w:style w:type="paragraph" w:styleId="aa">
    <w:name w:val="annotation subject"/>
    <w:basedOn w:val="a9"/>
    <w:next w:val="a9"/>
    <w:link w:val="Char3"/>
    <w:uiPriority w:val="99"/>
    <w:semiHidden/>
    <w:unhideWhenUsed/>
    <w:rsid w:val="002C1F29"/>
    <w:rPr>
      <w:b/>
      <w:bCs/>
    </w:rPr>
  </w:style>
  <w:style w:type="character" w:customStyle="1" w:styleId="Char3">
    <w:name w:val="批注主题 Char"/>
    <w:basedOn w:val="Char2"/>
    <w:link w:val="aa"/>
    <w:uiPriority w:val="99"/>
    <w:semiHidden/>
    <w:rsid w:val="002C1F29"/>
    <w:rPr>
      <w:b/>
      <w:bCs/>
    </w:rPr>
  </w:style>
  <w:style w:type="paragraph" w:styleId="ab">
    <w:name w:val="Revision"/>
    <w:hidden/>
    <w:uiPriority w:val="99"/>
    <w:semiHidden/>
    <w:rsid w:val="00696BB3"/>
  </w:style>
</w:styles>
</file>

<file path=word/webSettings.xml><?xml version="1.0" encoding="utf-8"?>
<w:webSettings xmlns:r="http://schemas.openxmlformats.org/officeDocument/2006/relationships" xmlns:w="http://schemas.openxmlformats.org/wordprocessingml/2006/main">
  <w:divs>
    <w:div w:id="29844345">
      <w:bodyDiv w:val="1"/>
      <w:marLeft w:val="0"/>
      <w:marRight w:val="0"/>
      <w:marTop w:val="0"/>
      <w:marBottom w:val="0"/>
      <w:divBdr>
        <w:top w:val="none" w:sz="0" w:space="0" w:color="auto"/>
        <w:left w:val="none" w:sz="0" w:space="0" w:color="auto"/>
        <w:bottom w:val="none" w:sz="0" w:space="0" w:color="auto"/>
        <w:right w:val="none" w:sz="0" w:space="0" w:color="auto"/>
      </w:divBdr>
    </w:div>
    <w:div w:id="146096881">
      <w:bodyDiv w:val="1"/>
      <w:marLeft w:val="0"/>
      <w:marRight w:val="0"/>
      <w:marTop w:val="0"/>
      <w:marBottom w:val="0"/>
      <w:divBdr>
        <w:top w:val="none" w:sz="0" w:space="0" w:color="auto"/>
        <w:left w:val="none" w:sz="0" w:space="0" w:color="auto"/>
        <w:bottom w:val="none" w:sz="0" w:space="0" w:color="auto"/>
        <w:right w:val="none" w:sz="0" w:space="0" w:color="auto"/>
      </w:divBdr>
    </w:div>
    <w:div w:id="158886336">
      <w:bodyDiv w:val="1"/>
      <w:marLeft w:val="0"/>
      <w:marRight w:val="0"/>
      <w:marTop w:val="0"/>
      <w:marBottom w:val="0"/>
      <w:divBdr>
        <w:top w:val="none" w:sz="0" w:space="0" w:color="auto"/>
        <w:left w:val="none" w:sz="0" w:space="0" w:color="auto"/>
        <w:bottom w:val="none" w:sz="0" w:space="0" w:color="auto"/>
        <w:right w:val="none" w:sz="0" w:space="0" w:color="auto"/>
      </w:divBdr>
    </w:div>
    <w:div w:id="277103336">
      <w:bodyDiv w:val="1"/>
      <w:marLeft w:val="0"/>
      <w:marRight w:val="0"/>
      <w:marTop w:val="0"/>
      <w:marBottom w:val="0"/>
      <w:divBdr>
        <w:top w:val="none" w:sz="0" w:space="0" w:color="auto"/>
        <w:left w:val="none" w:sz="0" w:space="0" w:color="auto"/>
        <w:bottom w:val="none" w:sz="0" w:space="0" w:color="auto"/>
        <w:right w:val="none" w:sz="0" w:space="0" w:color="auto"/>
      </w:divBdr>
    </w:div>
    <w:div w:id="307327571">
      <w:bodyDiv w:val="1"/>
      <w:marLeft w:val="0"/>
      <w:marRight w:val="0"/>
      <w:marTop w:val="0"/>
      <w:marBottom w:val="0"/>
      <w:divBdr>
        <w:top w:val="none" w:sz="0" w:space="0" w:color="auto"/>
        <w:left w:val="none" w:sz="0" w:space="0" w:color="auto"/>
        <w:bottom w:val="none" w:sz="0" w:space="0" w:color="auto"/>
        <w:right w:val="none" w:sz="0" w:space="0" w:color="auto"/>
      </w:divBdr>
    </w:div>
    <w:div w:id="458643268">
      <w:bodyDiv w:val="1"/>
      <w:marLeft w:val="0"/>
      <w:marRight w:val="0"/>
      <w:marTop w:val="0"/>
      <w:marBottom w:val="0"/>
      <w:divBdr>
        <w:top w:val="none" w:sz="0" w:space="0" w:color="auto"/>
        <w:left w:val="none" w:sz="0" w:space="0" w:color="auto"/>
        <w:bottom w:val="none" w:sz="0" w:space="0" w:color="auto"/>
        <w:right w:val="none" w:sz="0" w:space="0" w:color="auto"/>
      </w:divBdr>
    </w:div>
    <w:div w:id="621806074">
      <w:bodyDiv w:val="1"/>
      <w:marLeft w:val="0"/>
      <w:marRight w:val="0"/>
      <w:marTop w:val="0"/>
      <w:marBottom w:val="0"/>
      <w:divBdr>
        <w:top w:val="none" w:sz="0" w:space="0" w:color="auto"/>
        <w:left w:val="none" w:sz="0" w:space="0" w:color="auto"/>
        <w:bottom w:val="none" w:sz="0" w:space="0" w:color="auto"/>
        <w:right w:val="none" w:sz="0" w:space="0" w:color="auto"/>
      </w:divBdr>
    </w:div>
    <w:div w:id="724720592">
      <w:bodyDiv w:val="1"/>
      <w:marLeft w:val="0"/>
      <w:marRight w:val="0"/>
      <w:marTop w:val="0"/>
      <w:marBottom w:val="0"/>
      <w:divBdr>
        <w:top w:val="none" w:sz="0" w:space="0" w:color="auto"/>
        <w:left w:val="none" w:sz="0" w:space="0" w:color="auto"/>
        <w:bottom w:val="none" w:sz="0" w:space="0" w:color="auto"/>
        <w:right w:val="none" w:sz="0" w:space="0" w:color="auto"/>
      </w:divBdr>
    </w:div>
    <w:div w:id="746995318">
      <w:bodyDiv w:val="1"/>
      <w:marLeft w:val="0"/>
      <w:marRight w:val="0"/>
      <w:marTop w:val="0"/>
      <w:marBottom w:val="0"/>
      <w:divBdr>
        <w:top w:val="none" w:sz="0" w:space="0" w:color="auto"/>
        <w:left w:val="none" w:sz="0" w:space="0" w:color="auto"/>
        <w:bottom w:val="none" w:sz="0" w:space="0" w:color="auto"/>
        <w:right w:val="none" w:sz="0" w:space="0" w:color="auto"/>
      </w:divBdr>
    </w:div>
    <w:div w:id="748425734">
      <w:bodyDiv w:val="1"/>
      <w:marLeft w:val="0"/>
      <w:marRight w:val="0"/>
      <w:marTop w:val="0"/>
      <w:marBottom w:val="0"/>
      <w:divBdr>
        <w:top w:val="none" w:sz="0" w:space="0" w:color="auto"/>
        <w:left w:val="none" w:sz="0" w:space="0" w:color="auto"/>
        <w:bottom w:val="none" w:sz="0" w:space="0" w:color="auto"/>
        <w:right w:val="none" w:sz="0" w:space="0" w:color="auto"/>
      </w:divBdr>
    </w:div>
    <w:div w:id="1800025079">
      <w:bodyDiv w:val="1"/>
      <w:marLeft w:val="0"/>
      <w:marRight w:val="0"/>
      <w:marTop w:val="0"/>
      <w:marBottom w:val="0"/>
      <w:divBdr>
        <w:top w:val="none" w:sz="0" w:space="0" w:color="auto"/>
        <w:left w:val="none" w:sz="0" w:space="0" w:color="auto"/>
        <w:bottom w:val="none" w:sz="0" w:space="0" w:color="auto"/>
        <w:right w:val="none" w:sz="0" w:space="0" w:color="auto"/>
      </w:divBdr>
    </w:div>
    <w:div w:id="1988046008">
      <w:bodyDiv w:val="1"/>
      <w:marLeft w:val="0"/>
      <w:marRight w:val="0"/>
      <w:marTop w:val="0"/>
      <w:marBottom w:val="0"/>
      <w:divBdr>
        <w:top w:val="none" w:sz="0" w:space="0" w:color="auto"/>
        <w:left w:val="none" w:sz="0" w:space="0" w:color="auto"/>
        <w:bottom w:val="none" w:sz="0" w:space="0" w:color="auto"/>
        <w:right w:val="none" w:sz="0" w:space="0" w:color="auto"/>
      </w:divBdr>
    </w:div>
    <w:div w:id="2043092047">
      <w:bodyDiv w:val="1"/>
      <w:marLeft w:val="0"/>
      <w:marRight w:val="0"/>
      <w:marTop w:val="0"/>
      <w:marBottom w:val="0"/>
      <w:divBdr>
        <w:top w:val="none" w:sz="0" w:space="0" w:color="auto"/>
        <w:left w:val="none" w:sz="0" w:space="0" w:color="auto"/>
        <w:bottom w:val="none" w:sz="0" w:space="0" w:color="auto"/>
        <w:right w:val="none" w:sz="0" w:space="0" w:color="auto"/>
      </w:divBdr>
    </w:div>
    <w:div w:id="211874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fund.cn/" TargetMode="External"/><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jsfund.cn/index"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7ED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561</Words>
  <Characters>3199</Characters>
  <Application>Microsoft Office Word</Application>
  <DocSecurity>0</DocSecurity>
  <Lines>26</Lines>
  <Paragraphs>7</Paragraphs>
  <ScaleCrop>false</ScaleCrop>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2014-09-09T01:09:00Z</dcterms:created>
  <dcterms:modified xsi:type="dcterms:W3CDTF">2015-08-14T07:14:00Z</dcterms:modified>
</cp:coreProperties>
</file>